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4190" w14:textId="1EFF8E1E" w:rsidR="00EE3DE2" w:rsidRPr="00303A2B" w:rsidRDefault="0049741C" w:rsidP="00EE3DE2">
      <w:pPr>
        <w:tabs>
          <w:tab w:val="left" w:pos="2694"/>
        </w:tabs>
        <w:jc w:val="left"/>
        <w:rPr>
          <w:rFonts w:asciiTheme="minorBidi" w:eastAsia="Calibri" w:hAnsiTheme="minorBidi" w:cstheme="minorBidi"/>
          <w:sz w:val="22"/>
          <w:szCs w:val="22"/>
          <w:lang w:val="es-ES"/>
        </w:rPr>
      </w:pPr>
      <w:r w:rsidRPr="00303A2B">
        <w:rPr>
          <w:rFonts w:asciiTheme="minorBidi" w:eastAsia="Calibri" w:hAnsiTheme="minorBidi" w:cstheme="minorBidi"/>
          <w:sz w:val="22"/>
          <w:szCs w:val="22"/>
          <w:lang w:val="es-ES"/>
        </w:rPr>
        <w:t>Distribución limitada</w:t>
      </w:r>
      <w:r w:rsidR="00EE3DE2" w:rsidRPr="00303A2B">
        <w:rPr>
          <w:rFonts w:asciiTheme="minorBidi" w:eastAsia="Calibri" w:hAnsiTheme="minorBidi" w:cstheme="minorBidi"/>
          <w:sz w:val="22"/>
          <w:szCs w:val="22"/>
          <w:lang w:val="es-ES"/>
        </w:rPr>
        <w:tab/>
      </w:r>
      <w:r w:rsidR="00EE3DE2" w:rsidRPr="00303A2B">
        <w:rPr>
          <w:rFonts w:asciiTheme="minorBidi" w:eastAsia="Calibri" w:hAnsiTheme="minorBidi" w:cstheme="minorBidi"/>
          <w:sz w:val="22"/>
          <w:szCs w:val="22"/>
          <w:lang w:val="es-ES"/>
        </w:rPr>
        <w:tab/>
      </w:r>
      <w:r w:rsidR="00EE3DE2" w:rsidRPr="00303A2B">
        <w:rPr>
          <w:rFonts w:asciiTheme="minorBidi" w:eastAsia="Calibri" w:hAnsiTheme="minorBidi" w:cstheme="minorBidi"/>
          <w:sz w:val="22"/>
          <w:szCs w:val="22"/>
          <w:lang w:val="es-ES"/>
        </w:rPr>
        <w:tab/>
      </w:r>
      <w:r w:rsidR="00EE3DE2" w:rsidRPr="00303A2B">
        <w:rPr>
          <w:rFonts w:asciiTheme="minorBidi" w:eastAsia="Calibri" w:hAnsiTheme="minorBidi" w:cstheme="minorBidi"/>
          <w:sz w:val="22"/>
          <w:szCs w:val="22"/>
          <w:lang w:val="es-ES"/>
        </w:rPr>
        <w:tab/>
      </w:r>
      <w:r w:rsidR="00EE3DE2" w:rsidRPr="00303A2B">
        <w:rPr>
          <w:rFonts w:asciiTheme="minorBidi" w:eastAsia="Calibri" w:hAnsiTheme="minorBidi" w:cstheme="minorBidi"/>
          <w:sz w:val="22"/>
          <w:szCs w:val="22"/>
          <w:lang w:val="es-ES"/>
        </w:rPr>
        <w:tab/>
      </w:r>
      <w:r w:rsidR="00EE3DE2" w:rsidRPr="00303A2B">
        <w:rPr>
          <w:rFonts w:asciiTheme="minorBidi" w:eastAsia="Calibri" w:hAnsiTheme="minorBidi" w:cstheme="minorBidi"/>
          <w:sz w:val="22"/>
          <w:szCs w:val="22"/>
          <w:lang w:val="es-ES"/>
        </w:rPr>
        <w:tab/>
      </w:r>
      <w:r w:rsidR="00EE3DE2" w:rsidRPr="00303A2B">
        <w:rPr>
          <w:rFonts w:asciiTheme="minorBidi" w:eastAsia="Calibri" w:hAnsiTheme="minorBidi" w:cstheme="minorBidi"/>
          <w:sz w:val="22"/>
          <w:szCs w:val="22"/>
          <w:lang w:val="es-ES"/>
        </w:rPr>
        <w:tab/>
      </w:r>
      <w:r w:rsidR="00EE3DE2" w:rsidRPr="00303A2B">
        <w:rPr>
          <w:rFonts w:asciiTheme="minorBidi" w:eastAsia="Calibri" w:hAnsiTheme="minorBidi" w:cstheme="minorBidi"/>
          <w:b/>
          <w:bCs/>
          <w:sz w:val="22"/>
          <w:szCs w:val="22"/>
          <w:lang w:val="es-ES"/>
        </w:rPr>
        <w:t>EC-57/DR.[5.4]</w:t>
      </w:r>
    </w:p>
    <w:p w14:paraId="10F01799" w14:textId="76B3819B" w:rsidR="00EE3DE2" w:rsidRPr="00303A2B" w:rsidRDefault="00EE3DE2" w:rsidP="00EE3DE2">
      <w:pPr>
        <w:tabs>
          <w:tab w:val="left" w:pos="2694"/>
        </w:tabs>
        <w:jc w:val="left"/>
        <w:rPr>
          <w:rFonts w:asciiTheme="minorBidi" w:eastAsia="Calibri" w:hAnsiTheme="minorBidi" w:cstheme="minorBidi"/>
          <w:sz w:val="22"/>
          <w:szCs w:val="22"/>
          <w:lang w:val="es-ES"/>
        </w:rPr>
      </w:pP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005E783B" w:rsidRPr="00303A2B">
        <w:rPr>
          <w:rFonts w:asciiTheme="minorBidi" w:eastAsia="Calibri" w:hAnsiTheme="minorBidi" w:cstheme="minorBidi"/>
          <w:sz w:val="22"/>
          <w:szCs w:val="22"/>
          <w:lang w:val="es-ES"/>
        </w:rPr>
        <w:t>París</w:t>
      </w:r>
      <w:r w:rsidRPr="00303A2B">
        <w:rPr>
          <w:rFonts w:asciiTheme="minorBidi" w:eastAsia="Calibri" w:hAnsiTheme="minorBidi" w:cstheme="minorBidi"/>
          <w:sz w:val="22"/>
          <w:szCs w:val="22"/>
          <w:lang w:val="es-ES"/>
        </w:rPr>
        <w:t xml:space="preserve">, </w:t>
      </w:r>
      <w:r w:rsidR="005E783B" w:rsidRPr="00303A2B">
        <w:rPr>
          <w:rFonts w:asciiTheme="minorBidi" w:eastAsia="Calibri" w:hAnsiTheme="minorBidi" w:cstheme="minorBidi"/>
          <w:sz w:val="22"/>
          <w:szCs w:val="22"/>
          <w:lang w:val="es-ES"/>
        </w:rPr>
        <w:t>27</w:t>
      </w:r>
      <w:r w:rsidRPr="00303A2B">
        <w:rPr>
          <w:rFonts w:asciiTheme="minorBidi" w:eastAsia="Calibri" w:hAnsiTheme="minorBidi" w:cstheme="minorBidi"/>
          <w:sz w:val="22"/>
          <w:szCs w:val="22"/>
          <w:lang w:val="es-ES"/>
        </w:rPr>
        <w:t xml:space="preserve"> </w:t>
      </w:r>
      <w:r w:rsidR="005E783B" w:rsidRPr="00303A2B">
        <w:rPr>
          <w:rFonts w:asciiTheme="minorBidi" w:eastAsia="Calibri" w:hAnsiTheme="minorBidi" w:cstheme="minorBidi"/>
          <w:sz w:val="22"/>
          <w:szCs w:val="22"/>
          <w:lang w:val="es-ES"/>
        </w:rPr>
        <w:t>de junio de</w:t>
      </w:r>
      <w:r w:rsidRPr="00303A2B">
        <w:rPr>
          <w:rFonts w:asciiTheme="minorBidi" w:eastAsia="Calibri" w:hAnsiTheme="minorBidi" w:cstheme="minorBidi"/>
          <w:sz w:val="22"/>
          <w:szCs w:val="22"/>
          <w:lang w:val="es-ES"/>
        </w:rPr>
        <w:t xml:space="preserve"> 2024</w:t>
      </w:r>
    </w:p>
    <w:p w14:paraId="09241AFD" w14:textId="6B74B0E7" w:rsidR="00EE3DE2" w:rsidRPr="00303A2B" w:rsidRDefault="00EE3DE2" w:rsidP="00EE3DE2">
      <w:pPr>
        <w:tabs>
          <w:tab w:val="left" w:pos="2694"/>
        </w:tabs>
        <w:jc w:val="left"/>
        <w:rPr>
          <w:rFonts w:asciiTheme="minorBidi" w:eastAsia="Calibri" w:hAnsiTheme="minorBidi" w:cstheme="minorBidi"/>
          <w:sz w:val="22"/>
          <w:szCs w:val="22"/>
          <w:lang w:val="es-ES"/>
        </w:rPr>
      </w:pP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r>
      <w:r w:rsidRPr="00303A2B">
        <w:rPr>
          <w:rFonts w:asciiTheme="minorBidi" w:eastAsia="Calibri" w:hAnsiTheme="minorBidi" w:cstheme="minorBidi"/>
          <w:sz w:val="22"/>
          <w:szCs w:val="22"/>
          <w:lang w:val="es-ES"/>
        </w:rPr>
        <w:tab/>
        <w:t xml:space="preserve">Original: </w:t>
      </w:r>
      <w:r w:rsidR="005E783B" w:rsidRPr="00303A2B">
        <w:rPr>
          <w:rFonts w:asciiTheme="minorBidi" w:eastAsia="Calibri" w:hAnsiTheme="minorBidi" w:cstheme="minorBidi"/>
          <w:sz w:val="22"/>
          <w:szCs w:val="22"/>
          <w:lang w:val="es-ES"/>
        </w:rPr>
        <w:t>inglés</w:t>
      </w:r>
    </w:p>
    <w:p w14:paraId="48D251E0" w14:textId="77777777" w:rsidR="00EE3DE2" w:rsidRPr="00303A2B" w:rsidRDefault="00EE3DE2" w:rsidP="00EE3DE2">
      <w:pPr>
        <w:tabs>
          <w:tab w:val="left" w:pos="2694"/>
        </w:tabs>
        <w:spacing w:after="240"/>
        <w:jc w:val="left"/>
        <w:rPr>
          <w:rFonts w:asciiTheme="minorBidi" w:eastAsia="Calibri" w:hAnsiTheme="minorBidi" w:cstheme="minorBidi"/>
          <w:b/>
          <w:bCs/>
          <w:sz w:val="22"/>
          <w:szCs w:val="22"/>
          <w:lang w:val="es-ES"/>
        </w:rPr>
      </w:pPr>
    </w:p>
    <w:p w14:paraId="34A3508E" w14:textId="5F7EC836" w:rsidR="00EE3DE2" w:rsidRPr="00303A2B" w:rsidRDefault="005E783B" w:rsidP="005E783B">
      <w:pPr>
        <w:tabs>
          <w:tab w:val="left" w:pos="2694"/>
        </w:tabs>
        <w:spacing w:after="240"/>
        <w:jc w:val="left"/>
        <w:rPr>
          <w:rFonts w:asciiTheme="minorBidi" w:eastAsia="Calibri" w:hAnsiTheme="minorBidi" w:cstheme="minorBidi"/>
          <w:b/>
          <w:bCs/>
          <w:sz w:val="22"/>
          <w:szCs w:val="22"/>
          <w:lang w:val="es-ES"/>
        </w:rPr>
      </w:pPr>
      <w:r w:rsidRPr="00303A2B">
        <w:rPr>
          <w:rFonts w:asciiTheme="minorBidi" w:eastAsia="Calibri" w:hAnsiTheme="minorBidi" w:cstheme="minorBidi"/>
          <w:b/>
          <w:bCs/>
          <w:sz w:val="22"/>
          <w:szCs w:val="22"/>
          <w:lang w:val="es-ES"/>
        </w:rPr>
        <w:t xml:space="preserve">PROYECTO DE RESOLUCIÓN </w:t>
      </w:r>
      <w:r w:rsidR="00CF5319" w:rsidRPr="00303A2B">
        <w:rPr>
          <w:rFonts w:asciiTheme="minorBidi" w:eastAsia="Calibri" w:hAnsiTheme="minorBidi" w:cstheme="minorBidi"/>
          <w:b/>
          <w:bCs/>
          <w:sz w:val="22"/>
          <w:szCs w:val="22"/>
          <w:lang w:val="es-ES"/>
        </w:rPr>
        <w:t>EC-57/DR.[5.4]</w:t>
      </w:r>
    </w:p>
    <w:p w14:paraId="25861BF5" w14:textId="724204A7" w:rsidR="00D218EB" w:rsidRPr="00303A2B" w:rsidRDefault="005E783B" w:rsidP="005E783B">
      <w:pPr>
        <w:tabs>
          <w:tab w:val="left" w:pos="2694"/>
        </w:tabs>
        <w:spacing w:after="360"/>
        <w:jc w:val="left"/>
        <w:rPr>
          <w:rFonts w:asciiTheme="minorBidi" w:eastAsia="Calibri" w:hAnsiTheme="minorBidi" w:cstheme="minorBidi"/>
          <w:sz w:val="22"/>
          <w:szCs w:val="22"/>
          <w:lang w:val="es-ES"/>
        </w:rPr>
      </w:pPr>
      <w:r w:rsidRPr="00303A2B">
        <w:rPr>
          <w:rFonts w:asciiTheme="minorBidi" w:eastAsia="Calibri" w:hAnsiTheme="minorBidi" w:cstheme="minorBidi"/>
          <w:sz w:val="22"/>
          <w:szCs w:val="22"/>
          <w:lang w:val="es-ES"/>
        </w:rPr>
        <w:t>Presentado por: Alemania, Australia, Bangladesh, Brasil, Canadá, China, Colombia, España, Estados Unidos de América, Francia, India, Italia, Japón, Pakistán, Portugal, Reino Unido de Gran Bretaña e Irlanda del Norte, Sudáfrica y Tailandia</w:t>
      </w:r>
    </w:p>
    <w:p w14:paraId="4E9F9FEC" w14:textId="09B0ED71" w:rsidR="00EE3DE2" w:rsidRPr="00303A2B" w:rsidRDefault="005E783B" w:rsidP="005E783B">
      <w:pPr>
        <w:tabs>
          <w:tab w:val="left" w:pos="2694"/>
        </w:tabs>
        <w:spacing w:after="480"/>
        <w:rPr>
          <w:rFonts w:asciiTheme="minorBidi" w:eastAsia="Calibri" w:hAnsiTheme="minorBidi" w:cstheme="minorBidi"/>
          <w:b/>
          <w:bCs/>
          <w:sz w:val="22"/>
          <w:szCs w:val="22"/>
          <w:lang w:val="es-ES"/>
        </w:rPr>
      </w:pPr>
      <w:r w:rsidRPr="00303A2B">
        <w:rPr>
          <w:rFonts w:asciiTheme="minorBidi" w:eastAsia="Calibri" w:hAnsiTheme="minorBidi" w:cstheme="minorBidi"/>
          <w:b/>
          <w:bCs/>
          <w:sz w:val="22"/>
          <w:szCs w:val="22"/>
          <w:lang w:val="es-ES"/>
        </w:rPr>
        <w:t>ASUNTOS DE GOBERNANZA, PROGRAMACIÓN Y PRESUPUESTACIÓN DE LA COMISIÓN</w:t>
      </w:r>
    </w:p>
    <w:p w14:paraId="534CB722" w14:textId="77777777" w:rsidR="005E783B" w:rsidRPr="00303A2B" w:rsidRDefault="005E783B" w:rsidP="005E783B">
      <w:pPr>
        <w:tabs>
          <w:tab w:val="center" w:pos="4153"/>
          <w:tab w:val="right" w:pos="8306"/>
        </w:tabs>
        <w:snapToGrid w:val="0"/>
        <w:spacing w:after="240" w:line="360" w:lineRule="auto"/>
        <w:rPr>
          <w:rFonts w:asciiTheme="minorBidi" w:hAnsiTheme="minorBidi" w:cstheme="minorBidi"/>
          <w:bCs/>
          <w:color w:val="000000"/>
          <w:sz w:val="22"/>
          <w:szCs w:val="22"/>
          <w:lang w:val="es-ES"/>
        </w:rPr>
      </w:pPr>
      <w:r w:rsidRPr="00303A2B">
        <w:rPr>
          <w:rFonts w:asciiTheme="minorBidi" w:hAnsiTheme="minorBidi" w:cstheme="minorBidi"/>
          <w:sz w:val="22"/>
          <w:szCs w:val="22"/>
          <w:lang w:val="es-ES"/>
        </w:rPr>
        <w:t>El Consejo Ejecutivo,</w:t>
      </w:r>
    </w:p>
    <w:p w14:paraId="411A74E9" w14:textId="77777777" w:rsidR="005E783B" w:rsidRPr="00303A2B" w:rsidRDefault="005E783B" w:rsidP="005E783B">
      <w:pPr>
        <w:pStyle w:val="ListParagraph"/>
        <w:numPr>
          <w:ilvl w:val="0"/>
          <w:numId w:val="11"/>
        </w:numPr>
        <w:tabs>
          <w:tab w:val="clear" w:pos="709"/>
          <w:tab w:val="left" w:pos="567"/>
        </w:tabs>
        <w:snapToGrid w:val="0"/>
        <w:spacing w:after="120" w:line="360" w:lineRule="auto"/>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Habiendo examinado</w:t>
      </w:r>
      <w:r w:rsidRPr="00303A2B">
        <w:rPr>
          <w:rFonts w:asciiTheme="minorBidi" w:hAnsiTheme="minorBidi" w:cstheme="minorBidi"/>
          <w:sz w:val="22"/>
          <w:szCs w:val="22"/>
          <w:lang w:val="es-ES"/>
        </w:rPr>
        <w:t xml:space="preserve"> los documentos:</w:t>
      </w:r>
    </w:p>
    <w:p w14:paraId="2F03D527" w14:textId="47DDE2A8" w:rsidR="005E783B" w:rsidRPr="00303A2B" w:rsidRDefault="005E783B" w:rsidP="0050473A">
      <w:pPr>
        <w:pStyle w:val="b"/>
        <w:numPr>
          <w:ilvl w:val="0"/>
          <w:numId w:val="1"/>
        </w:numPr>
        <w:tabs>
          <w:tab w:val="clear" w:pos="-737"/>
          <w:tab w:val="clear" w:pos="1134"/>
        </w:tabs>
        <w:spacing w:after="120"/>
        <w:ind w:left="567" w:hanging="578"/>
        <w:rPr>
          <w:rFonts w:asciiTheme="minorBidi" w:eastAsia="Calibri" w:hAnsiTheme="minorBidi" w:cstheme="minorBidi"/>
          <w:sz w:val="22"/>
          <w:szCs w:val="22"/>
          <w:lang w:val="es-ES"/>
        </w:rPr>
      </w:pPr>
      <w:r w:rsidRPr="00303A2B">
        <w:rPr>
          <w:rFonts w:asciiTheme="minorBidi" w:hAnsiTheme="minorBidi" w:cstheme="minorBidi"/>
          <w:sz w:val="22"/>
          <w:szCs w:val="22"/>
          <w:lang w:val="es-ES"/>
        </w:rPr>
        <w:t>IOC/EC-57/3.1.Doc(2) – Informe sobre la ejecución del presupuesto para 2022-2023 (41</w:t>
      </w:r>
      <w:r w:rsidR="003B3730"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C/5) al 31 de diciembre de 2023,</w:t>
      </w:r>
    </w:p>
    <w:p w14:paraId="41151016" w14:textId="7809DBA5" w:rsidR="005E783B" w:rsidRPr="00303A2B" w:rsidRDefault="005E783B" w:rsidP="0050473A">
      <w:pPr>
        <w:pStyle w:val="b"/>
        <w:numPr>
          <w:ilvl w:val="0"/>
          <w:numId w:val="1"/>
        </w:numPr>
        <w:tabs>
          <w:tab w:val="clear" w:pos="-737"/>
          <w:tab w:val="clear" w:pos="1134"/>
        </w:tabs>
        <w:spacing w:after="120"/>
        <w:ind w:left="567" w:hanging="578"/>
        <w:rPr>
          <w:rFonts w:asciiTheme="minorBidi" w:eastAsia="Calibri" w:hAnsiTheme="minorBidi" w:cstheme="minorBidi"/>
          <w:sz w:val="22"/>
          <w:szCs w:val="22"/>
          <w:lang w:val="es-ES"/>
        </w:rPr>
      </w:pPr>
      <w:r w:rsidRPr="00303A2B">
        <w:rPr>
          <w:rFonts w:asciiTheme="minorBidi" w:hAnsiTheme="minorBidi" w:cstheme="minorBidi"/>
          <w:sz w:val="22"/>
          <w:szCs w:val="22"/>
          <w:lang w:val="es-ES"/>
        </w:rPr>
        <w:t>IOC/EC-57/3.1.Doc(3) – Situación financiera de la Cuenta Especial de la COI a finales de</w:t>
      </w:r>
      <w:r w:rsidR="003B3730"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2023 y previsión para 2024-2025,</w:t>
      </w:r>
    </w:p>
    <w:p w14:paraId="6016EA71" w14:textId="77777777" w:rsidR="005E783B" w:rsidRPr="00303A2B" w:rsidRDefault="005E783B" w:rsidP="0050473A">
      <w:pPr>
        <w:pStyle w:val="b"/>
        <w:numPr>
          <w:ilvl w:val="0"/>
          <w:numId w:val="1"/>
        </w:numPr>
        <w:tabs>
          <w:tab w:val="clear" w:pos="-737"/>
          <w:tab w:val="clear" w:pos="1134"/>
        </w:tabs>
        <w:spacing w:after="120"/>
        <w:ind w:left="567" w:hanging="578"/>
        <w:rPr>
          <w:rFonts w:asciiTheme="minorBidi" w:eastAsia="Calibri" w:hAnsiTheme="minorBidi" w:cstheme="minorBidi"/>
          <w:sz w:val="22"/>
          <w:szCs w:val="22"/>
          <w:lang w:val="es-ES"/>
        </w:rPr>
      </w:pPr>
      <w:r w:rsidRPr="00303A2B">
        <w:rPr>
          <w:rFonts w:asciiTheme="minorBidi" w:hAnsiTheme="minorBidi" w:cstheme="minorBidi"/>
          <w:sz w:val="22"/>
          <w:szCs w:val="22"/>
          <w:lang w:val="es-ES"/>
        </w:rPr>
        <w:t>IOC/EC-57/3.1.Doc(4) – Proceso de consulta “La COI y el futuro del océano: ejecución sostenible y ampliación de las actividades de la COI”,</w:t>
      </w:r>
    </w:p>
    <w:p w14:paraId="6A2CD1B5" w14:textId="230EB856" w:rsidR="005E783B" w:rsidRPr="00303A2B" w:rsidRDefault="005E783B" w:rsidP="0050473A">
      <w:pPr>
        <w:pStyle w:val="b"/>
        <w:numPr>
          <w:ilvl w:val="0"/>
          <w:numId w:val="1"/>
        </w:numPr>
        <w:tabs>
          <w:tab w:val="clear" w:pos="-737"/>
          <w:tab w:val="clear" w:pos="1134"/>
        </w:tabs>
        <w:spacing w:after="120"/>
        <w:ind w:left="567" w:hanging="578"/>
        <w:rPr>
          <w:rFonts w:asciiTheme="minorBidi" w:eastAsia="Calibri" w:hAnsiTheme="minorBidi" w:cstheme="minorBidi"/>
          <w:sz w:val="22"/>
          <w:szCs w:val="22"/>
          <w:lang w:val="es-ES"/>
        </w:rPr>
      </w:pPr>
      <w:r w:rsidRPr="00303A2B">
        <w:rPr>
          <w:rFonts w:asciiTheme="minorBidi" w:hAnsiTheme="minorBidi" w:cstheme="minorBidi"/>
          <w:sz w:val="22"/>
          <w:szCs w:val="22"/>
          <w:lang w:val="es-ES"/>
        </w:rPr>
        <w:t>IOC/EC-57/5.1.Doc(1) – Programa y Presupuesto revisados para 2024-2025 (42</w:t>
      </w:r>
      <w:r w:rsidR="003B3730"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C/5) y</w:t>
      </w:r>
      <w:r w:rsidR="005F0827"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propuestas preliminares para 2026-2029 (Proyecto de 43</w:t>
      </w:r>
      <w:r w:rsidR="003B3730"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C/5)</w:t>
      </w:r>
      <w:bookmarkStart w:id="0" w:name="_Hlk137637641"/>
      <w:bookmarkEnd w:id="0"/>
    </w:p>
    <w:p w14:paraId="5475F2BB" w14:textId="77777777" w:rsidR="005E783B" w:rsidRPr="00303A2B" w:rsidRDefault="005E783B" w:rsidP="0050473A">
      <w:pPr>
        <w:pStyle w:val="b"/>
        <w:numPr>
          <w:ilvl w:val="0"/>
          <w:numId w:val="1"/>
        </w:numPr>
        <w:tabs>
          <w:tab w:val="clear" w:pos="-737"/>
          <w:tab w:val="clear" w:pos="1134"/>
        </w:tabs>
        <w:spacing w:after="120"/>
        <w:ind w:left="567" w:hanging="578"/>
        <w:rPr>
          <w:rFonts w:asciiTheme="minorBidi" w:eastAsia="Calibri" w:hAnsiTheme="minorBidi" w:cstheme="minorBidi"/>
          <w:sz w:val="22"/>
          <w:szCs w:val="22"/>
          <w:lang w:val="es-ES"/>
        </w:rPr>
      </w:pPr>
      <w:r w:rsidRPr="00303A2B">
        <w:rPr>
          <w:rFonts w:asciiTheme="minorBidi" w:hAnsiTheme="minorBidi" w:cstheme="minorBidi"/>
          <w:sz w:val="22"/>
          <w:szCs w:val="22"/>
          <w:lang w:val="es-ES"/>
        </w:rPr>
        <w:t>IOC/EC-57/5.2.Doc(1) – Información actualizada sobre la ejecución del plan de acción en respuesta a la evaluación por la IOS del posicionamiento estratégico de la COI,</w:t>
      </w:r>
    </w:p>
    <w:p w14:paraId="4BEDD1F0" w14:textId="4D6712B7" w:rsidR="005E783B" w:rsidRPr="00303A2B" w:rsidRDefault="005E783B" w:rsidP="0050473A">
      <w:pPr>
        <w:pStyle w:val="b"/>
        <w:numPr>
          <w:ilvl w:val="0"/>
          <w:numId w:val="1"/>
        </w:numPr>
        <w:tabs>
          <w:tab w:val="clear" w:pos="-737"/>
          <w:tab w:val="clear" w:pos="1134"/>
        </w:tabs>
        <w:spacing w:after="120"/>
        <w:ind w:left="567" w:hanging="578"/>
        <w:rPr>
          <w:rFonts w:asciiTheme="minorBidi" w:eastAsia="Calibri" w:hAnsiTheme="minorBidi" w:cstheme="minorBidi"/>
          <w:sz w:val="22"/>
          <w:szCs w:val="22"/>
          <w:lang w:val="es-ES"/>
        </w:rPr>
      </w:pPr>
      <w:r w:rsidRPr="00303A2B">
        <w:rPr>
          <w:rFonts w:asciiTheme="minorBidi" w:hAnsiTheme="minorBidi" w:cstheme="minorBidi"/>
          <w:sz w:val="22"/>
          <w:szCs w:val="22"/>
          <w:lang w:val="es-ES"/>
        </w:rPr>
        <w:t>IOC/EC-57/5.2.Doc(2) – Informe del Presidente del Grupo Asesor sobre Finanzas para el periodo entre reuniones (periodo entre reuniones de enero a junio de 2024),</w:t>
      </w:r>
      <w:r w:rsidR="008164B1" w:rsidRPr="00303A2B">
        <w:rPr>
          <w:rFonts w:asciiTheme="minorBidi" w:hAnsiTheme="minorBidi" w:cstheme="minorBidi"/>
          <w:sz w:val="22"/>
          <w:szCs w:val="22"/>
          <w:lang w:val="es-ES"/>
        </w:rPr>
        <w:t xml:space="preserve"> y</w:t>
      </w:r>
    </w:p>
    <w:p w14:paraId="1320BD05" w14:textId="7D9BD480" w:rsidR="00EE3DE2" w:rsidRPr="00303A2B" w:rsidRDefault="005E783B" w:rsidP="0050473A">
      <w:pPr>
        <w:pStyle w:val="b"/>
        <w:numPr>
          <w:ilvl w:val="0"/>
          <w:numId w:val="1"/>
        </w:numPr>
        <w:tabs>
          <w:tab w:val="clear" w:pos="-737"/>
          <w:tab w:val="clear" w:pos="1134"/>
        </w:tabs>
        <w:spacing w:after="360"/>
        <w:ind w:left="567" w:hanging="578"/>
        <w:rPr>
          <w:rFonts w:asciiTheme="minorBidi" w:eastAsia="Calibri" w:hAnsiTheme="minorBidi" w:cstheme="minorBidi"/>
          <w:sz w:val="22"/>
          <w:szCs w:val="22"/>
          <w:lang w:val="es-ES"/>
        </w:rPr>
      </w:pPr>
      <w:r w:rsidRPr="00303A2B">
        <w:rPr>
          <w:rFonts w:asciiTheme="minorBidi" w:hAnsiTheme="minorBidi" w:cstheme="minorBidi"/>
          <w:sz w:val="22"/>
          <w:szCs w:val="22"/>
          <w:lang w:val="es-ES"/>
        </w:rPr>
        <w:t>IOC/EC-57/5.3.Doc(1) – Proyecto de directrices para la preparación de los Estados Miembros y su participación en las elecciones bienales de la Mesa de la Comisión (Presidente y vicepresidentes de la COI) y de los Estados miembros del Consejo Ejecutivo,</w:t>
      </w:r>
    </w:p>
    <w:p w14:paraId="74304CF9" w14:textId="1A456331" w:rsidR="002945A0" w:rsidRPr="00303A2B" w:rsidRDefault="008164B1" w:rsidP="00AA28D3">
      <w:pPr>
        <w:pStyle w:val="ListParagraph"/>
        <w:keepNext/>
        <w:tabs>
          <w:tab w:val="clear" w:pos="709"/>
          <w:tab w:val="left" w:pos="567"/>
        </w:tabs>
        <w:snapToGrid w:val="0"/>
        <w:spacing w:after="120"/>
        <w:ind w:left="0"/>
        <w:contextualSpacing w:val="0"/>
        <w:jc w:val="center"/>
        <w:rPr>
          <w:rFonts w:asciiTheme="minorBidi" w:eastAsia="Calibri" w:hAnsiTheme="minorBidi" w:cstheme="minorBidi"/>
          <w:b/>
          <w:sz w:val="22"/>
          <w:szCs w:val="22"/>
          <w:lang w:val="es-ES"/>
        </w:rPr>
      </w:pPr>
      <w:r w:rsidRPr="00303A2B">
        <w:rPr>
          <w:rFonts w:asciiTheme="minorBidi" w:eastAsia="Calibri" w:hAnsiTheme="minorBidi" w:cstheme="minorBidi"/>
          <w:b/>
          <w:sz w:val="22"/>
          <w:szCs w:val="22"/>
          <w:lang w:val="es-ES"/>
        </w:rPr>
        <w:t xml:space="preserve">Parte </w:t>
      </w:r>
      <w:r w:rsidR="00EE3DE2" w:rsidRPr="00303A2B">
        <w:rPr>
          <w:rFonts w:asciiTheme="minorBidi" w:eastAsia="Calibri" w:hAnsiTheme="minorBidi" w:cstheme="minorBidi"/>
          <w:b/>
          <w:sz w:val="22"/>
          <w:szCs w:val="22"/>
          <w:lang w:val="es-ES"/>
        </w:rPr>
        <w:t>I.</w:t>
      </w:r>
    </w:p>
    <w:p w14:paraId="6A00214F" w14:textId="6201A553" w:rsidR="00EE3DE2" w:rsidRPr="00303A2B" w:rsidRDefault="0050473A" w:rsidP="00AA28D3">
      <w:pPr>
        <w:pStyle w:val="ListParagraph"/>
        <w:keepNext/>
        <w:tabs>
          <w:tab w:val="clear" w:pos="709"/>
          <w:tab w:val="left" w:pos="567"/>
        </w:tabs>
        <w:snapToGrid w:val="0"/>
        <w:spacing w:after="240"/>
        <w:ind w:left="0"/>
        <w:contextualSpacing w:val="0"/>
        <w:jc w:val="center"/>
        <w:rPr>
          <w:rFonts w:asciiTheme="minorBidi" w:eastAsia="Calibri" w:hAnsiTheme="minorBidi" w:cstheme="minorBidi"/>
          <w:b/>
          <w:sz w:val="22"/>
          <w:szCs w:val="22"/>
          <w:lang w:val="es-ES"/>
        </w:rPr>
      </w:pPr>
      <w:r w:rsidRPr="00303A2B">
        <w:rPr>
          <w:rFonts w:asciiTheme="minorBidi" w:eastAsia="Calibri" w:hAnsiTheme="minorBidi" w:cstheme="minorBidi"/>
          <w:b/>
          <w:bCs/>
          <w:sz w:val="22"/>
          <w:szCs w:val="22"/>
          <w:lang w:val="es-ES"/>
        </w:rPr>
        <w:t xml:space="preserve">Informe sobre la ejecución del presupuesto para 2022-2023 (41 C/5) </w:t>
      </w:r>
      <w:r w:rsidRPr="00303A2B">
        <w:rPr>
          <w:rFonts w:asciiTheme="minorBidi" w:eastAsia="Calibri" w:hAnsiTheme="minorBidi" w:cstheme="minorBidi"/>
          <w:b/>
          <w:bCs/>
          <w:sz w:val="22"/>
          <w:szCs w:val="22"/>
          <w:lang w:val="es-ES"/>
        </w:rPr>
        <w:br/>
        <w:t xml:space="preserve">al 31 de diciembre de 2023 y la situación financiera de la Cuenta Especial de la COI </w:t>
      </w:r>
      <w:r w:rsidRPr="00303A2B">
        <w:rPr>
          <w:rFonts w:asciiTheme="minorBidi" w:eastAsia="Calibri" w:hAnsiTheme="minorBidi" w:cstheme="minorBidi"/>
          <w:b/>
          <w:bCs/>
          <w:sz w:val="22"/>
          <w:szCs w:val="22"/>
          <w:lang w:val="es-ES"/>
        </w:rPr>
        <w:br/>
        <w:t>a finales de 2023 y la previsión para 2024-2025</w:t>
      </w:r>
    </w:p>
    <w:p w14:paraId="5EC43D6C" w14:textId="77777777"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Confirma</w:t>
      </w:r>
      <w:r w:rsidRPr="00303A2B">
        <w:rPr>
          <w:rFonts w:asciiTheme="minorBidi" w:hAnsiTheme="minorBidi" w:cstheme="minorBidi"/>
          <w:sz w:val="22"/>
          <w:szCs w:val="22"/>
          <w:lang w:val="es-ES"/>
        </w:rPr>
        <w:t xml:space="preserve"> que el presupuesto de la COI para 2022-2023, sobre el que se informa en el documento IOC/EC-57/3.1.Doc(2), se ha ejecutado de conformidad con el Programa y Presupuesto Aprobados para 2022-2023 (41 C/5), con inclusión de las consignaciones presupuestarias ajustadas para la Cuenta Especial de la COI aprobadas por la Asamblea de la COI en su 31ª reunión mediante su resolución A-31/2 y examinadas ulteriormente por el Consejo Ejecutivo de la COI en su 55ª reunión mediante la resolución EC-55/2;</w:t>
      </w:r>
    </w:p>
    <w:p w14:paraId="2975403D" w14:textId="46D5452C"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lastRenderedPageBreak/>
        <w:t>Observa</w:t>
      </w:r>
      <w:r w:rsidRPr="00303A2B">
        <w:rPr>
          <w:rFonts w:asciiTheme="minorBidi" w:hAnsiTheme="minorBidi" w:cstheme="minorBidi"/>
          <w:sz w:val="22"/>
          <w:szCs w:val="22"/>
          <w:lang w:val="es-ES"/>
        </w:rPr>
        <w:t xml:space="preserve"> que, si bien se han alcanzado los objetivos globales de movilización de recursos extrapresupuestarios fijados para el bienio 2022-2023, a finales de 2023 seguían existiendo algunas lagunas en la financiación de las funciones D y F;</w:t>
      </w:r>
    </w:p>
    <w:p w14:paraId="122E1C22" w14:textId="77777777"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Da las gracias</w:t>
      </w:r>
      <w:r w:rsidRPr="00303A2B">
        <w:rPr>
          <w:rFonts w:asciiTheme="minorBidi" w:hAnsiTheme="minorBidi" w:cstheme="minorBidi"/>
          <w:sz w:val="22"/>
          <w:szCs w:val="22"/>
          <w:lang w:val="es-ES"/>
        </w:rPr>
        <w:t xml:space="preserve"> a los Estados Miembros que han aportado fondos extrapresupuestarios para la ejecución del programa en 2022-2023;</w:t>
      </w:r>
    </w:p>
    <w:p w14:paraId="0DFA1221" w14:textId="623FDB84"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Toma nota</w:t>
      </w:r>
      <w:r w:rsidRPr="00303A2B">
        <w:rPr>
          <w:rFonts w:asciiTheme="minorBidi" w:hAnsiTheme="minorBidi" w:cstheme="minorBidi"/>
          <w:sz w:val="22"/>
          <w:szCs w:val="22"/>
          <w:lang w:val="es-ES"/>
        </w:rPr>
        <w:t xml:space="preserve"> de la información sobre la situación financiera de la Cuenta Especial de la COI a finales de 2023 y de las previsiones para 2024-2025 que figuran en el documento IOC/EC</w:t>
      </w:r>
      <w:r w:rsidRPr="00303A2B">
        <w:rPr>
          <w:rFonts w:asciiTheme="minorBidi" w:hAnsiTheme="minorBidi" w:cstheme="minorBidi"/>
          <w:sz w:val="22"/>
          <w:szCs w:val="22"/>
          <w:lang w:val="es-ES"/>
        </w:rPr>
        <w:noBreakHyphen/>
        <w:t>57/3.1.Doc(3);</w:t>
      </w:r>
    </w:p>
    <w:p w14:paraId="4D96444B" w14:textId="77777777"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Aprueba</w:t>
      </w:r>
      <w:r w:rsidRPr="00303A2B">
        <w:rPr>
          <w:rFonts w:asciiTheme="minorBidi" w:hAnsiTheme="minorBidi" w:cstheme="minorBidi"/>
          <w:sz w:val="22"/>
          <w:szCs w:val="22"/>
          <w:lang w:val="es-ES"/>
        </w:rPr>
        <w:t xml:space="preserve"> las asignaciones presupuestarias revisadas para 2024-2025 para la Cuenta Especial de la COI que se proponen en el cuadro 1 del documento IOC/EC-57/3.1.Doc(3);</w:t>
      </w:r>
    </w:p>
    <w:p w14:paraId="18C6D5F4" w14:textId="5571E721"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Alienta</w:t>
      </w:r>
      <w:r w:rsidRPr="00303A2B">
        <w:rPr>
          <w:rFonts w:asciiTheme="minorBidi" w:hAnsiTheme="minorBidi" w:cstheme="minorBidi"/>
          <w:sz w:val="22"/>
          <w:szCs w:val="22"/>
          <w:lang w:val="es-ES"/>
        </w:rPr>
        <w:t xml:space="preserve"> a los Estados Miembros a que aporten contribuciones voluntarias, preferentemente a la Cuenta Especial de la COI, a fin de alcanzar plenamente las metas de movilización de recursos extrapresupuestarios acordadas colectivamente para 2024-2025 para todas las funciones de la COI;</w:t>
      </w:r>
    </w:p>
    <w:p w14:paraId="6247E668" w14:textId="5106EF74" w:rsidR="00EE3DE2"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Pide</w:t>
      </w:r>
      <w:r w:rsidRPr="00303A2B">
        <w:rPr>
          <w:rFonts w:asciiTheme="minorBidi" w:hAnsiTheme="minorBidi" w:cstheme="minorBidi"/>
          <w:sz w:val="22"/>
          <w:szCs w:val="22"/>
          <w:lang w:val="es-ES"/>
        </w:rPr>
        <w:t xml:space="preserve"> al Secretario Ejecutivo de la COI que intensifique sus esfuerzos proactivos para obtener más contribuciones voluntarias, en particular de donantes del sector privado y otros asociados, y para lograr la plena consecución de los objetivos programáticos de la Comisión para</w:t>
      </w:r>
      <w:r w:rsidR="003B3730"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2024</w:t>
      </w:r>
      <w:r w:rsidRPr="00303A2B">
        <w:rPr>
          <w:rFonts w:asciiTheme="minorBidi" w:hAnsiTheme="minorBidi" w:cstheme="minorBidi"/>
          <w:sz w:val="22"/>
          <w:szCs w:val="22"/>
          <w:lang w:val="es-ES"/>
        </w:rPr>
        <w:noBreakHyphen/>
        <w:t>2025;</w:t>
      </w:r>
    </w:p>
    <w:p w14:paraId="54DC76D1" w14:textId="439447C2" w:rsidR="002945A0" w:rsidRPr="00303A2B" w:rsidRDefault="008164B1" w:rsidP="00AA28D3">
      <w:pPr>
        <w:pStyle w:val="ListParagraph"/>
        <w:keepNext/>
        <w:tabs>
          <w:tab w:val="clear" w:pos="709"/>
          <w:tab w:val="left" w:pos="567"/>
        </w:tabs>
        <w:snapToGrid w:val="0"/>
        <w:spacing w:after="120"/>
        <w:ind w:left="0"/>
        <w:contextualSpacing w:val="0"/>
        <w:jc w:val="center"/>
        <w:rPr>
          <w:rFonts w:asciiTheme="minorBidi" w:eastAsia="Calibri" w:hAnsiTheme="minorBidi" w:cstheme="minorBidi"/>
          <w:b/>
          <w:bCs/>
          <w:sz w:val="22"/>
          <w:szCs w:val="22"/>
          <w:lang w:val="es-ES"/>
        </w:rPr>
      </w:pPr>
      <w:r w:rsidRPr="00303A2B">
        <w:rPr>
          <w:rFonts w:asciiTheme="minorBidi" w:eastAsia="Calibri" w:hAnsiTheme="minorBidi" w:cstheme="minorBidi"/>
          <w:b/>
          <w:bCs/>
          <w:sz w:val="22"/>
          <w:szCs w:val="22"/>
          <w:lang w:val="es-ES"/>
        </w:rPr>
        <w:t xml:space="preserve">Parte </w:t>
      </w:r>
      <w:r w:rsidR="00EE3DE2" w:rsidRPr="00303A2B">
        <w:rPr>
          <w:rFonts w:asciiTheme="minorBidi" w:eastAsia="Calibri" w:hAnsiTheme="minorBidi" w:cstheme="minorBidi"/>
          <w:b/>
          <w:bCs/>
          <w:sz w:val="22"/>
          <w:szCs w:val="22"/>
          <w:lang w:val="es-ES"/>
        </w:rPr>
        <w:t>II.</w:t>
      </w:r>
    </w:p>
    <w:p w14:paraId="7B5EFC0B" w14:textId="6816FC5D" w:rsidR="00EE3DE2" w:rsidRPr="00303A2B" w:rsidRDefault="0050473A" w:rsidP="00AA28D3">
      <w:pPr>
        <w:pStyle w:val="ListParagraph"/>
        <w:keepNext/>
        <w:tabs>
          <w:tab w:val="clear" w:pos="709"/>
          <w:tab w:val="left" w:pos="567"/>
        </w:tabs>
        <w:snapToGrid w:val="0"/>
        <w:spacing w:after="240"/>
        <w:ind w:left="0"/>
        <w:contextualSpacing w:val="0"/>
        <w:jc w:val="center"/>
        <w:rPr>
          <w:rFonts w:asciiTheme="minorBidi" w:eastAsia="Calibri" w:hAnsiTheme="minorBidi" w:cstheme="minorBidi"/>
          <w:b/>
          <w:bCs/>
          <w:sz w:val="22"/>
          <w:szCs w:val="22"/>
          <w:lang w:val="es-ES"/>
        </w:rPr>
      </w:pPr>
      <w:r w:rsidRPr="00303A2B">
        <w:rPr>
          <w:rFonts w:asciiTheme="minorBidi" w:eastAsia="Calibri" w:hAnsiTheme="minorBidi" w:cstheme="minorBidi"/>
          <w:b/>
          <w:bCs/>
          <w:sz w:val="22"/>
          <w:szCs w:val="22"/>
          <w:lang w:val="es-ES"/>
        </w:rPr>
        <w:t>Programa y Presupuesto revisados para 2024-2025 (42 C/5) y propuestas preliminares para 2026-2029 (Proyecto de 43 C/5)</w:t>
      </w:r>
    </w:p>
    <w:p w14:paraId="1483C10F" w14:textId="4728112D"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bCs/>
          <w:sz w:val="22"/>
          <w:szCs w:val="22"/>
          <w:lang w:val="es-ES"/>
        </w:rPr>
      </w:pPr>
      <w:r w:rsidRPr="00303A2B">
        <w:rPr>
          <w:rFonts w:asciiTheme="minorBidi" w:hAnsiTheme="minorBidi" w:cstheme="minorBidi"/>
          <w:b/>
          <w:bCs/>
          <w:sz w:val="22"/>
          <w:szCs w:val="22"/>
          <w:lang w:val="es-ES"/>
        </w:rPr>
        <w:t>Recuerda</w:t>
      </w:r>
      <w:r w:rsidRPr="00303A2B">
        <w:rPr>
          <w:rFonts w:asciiTheme="minorBidi" w:hAnsiTheme="minorBidi" w:cstheme="minorBidi"/>
          <w:sz w:val="22"/>
          <w:szCs w:val="22"/>
          <w:lang w:val="es-ES"/>
        </w:rPr>
        <w:t xml:space="preserve"> la decisión adoptada por el Consejo Ejecutivo de la UNESCO en su 216ª reunión, en la que se recomendaba que la Conferencia General de la UNESCO, en su 42ª reunión, acordara un aumento del [1</w:t>
      </w:r>
      <w:r w:rsidR="00171EE4"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 de la proporción de la financiación correspondiente al presupuesto ordinario de la UNESCO para la COI, que no debería reducirse por transferencias de fondos a otros títulos del presupuesto, y que “se defin[iera] de común acuerdo una base de referencia para la proporción del presupuesto ordinario de la UNESCO asignada a la COI en el documento 42</w:t>
      </w:r>
      <w:r w:rsidR="00171EE4"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C/5 y los futuros documentos C/5, y que esa base de referencia no se redu[jera] más adelante, a menos que así lo ac[ordara] la Conferencia General”;</w:t>
      </w:r>
    </w:p>
    <w:p w14:paraId="1D921878" w14:textId="77777777"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bCs/>
          <w:sz w:val="22"/>
          <w:szCs w:val="22"/>
          <w:lang w:val="es-ES"/>
        </w:rPr>
      </w:pPr>
      <w:r w:rsidRPr="00303A2B">
        <w:rPr>
          <w:rFonts w:asciiTheme="minorBidi" w:hAnsiTheme="minorBidi" w:cstheme="minorBidi"/>
          <w:b/>
          <w:bCs/>
          <w:sz w:val="22"/>
          <w:szCs w:val="22"/>
          <w:lang w:val="es-ES"/>
        </w:rPr>
        <w:t>Agradece</w:t>
      </w:r>
      <w:r w:rsidRPr="00303A2B">
        <w:rPr>
          <w:rFonts w:asciiTheme="minorBidi" w:hAnsiTheme="minorBidi" w:cstheme="minorBidi"/>
          <w:sz w:val="22"/>
          <w:szCs w:val="22"/>
          <w:lang w:val="es-ES"/>
        </w:rPr>
        <w:t xml:space="preserve"> a los Estados Miembros que se incluyera en el orden del día de la 216ª reunión del Consejo Ejecutivo de la UNESCO el punto 44 “Necesidad urgente de aumentar y estabilizar los recursos de la Comisión Oceanográfica Intergubernamental (COI)”, que condujo a la adopción de la decisión mencionada;</w:t>
      </w:r>
    </w:p>
    <w:p w14:paraId="08C17A08" w14:textId="77777777"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Toma nota con reconocimiento</w:t>
      </w:r>
      <w:r w:rsidRPr="00303A2B">
        <w:rPr>
          <w:rFonts w:asciiTheme="minorBidi" w:hAnsiTheme="minorBidi" w:cstheme="minorBidi"/>
          <w:sz w:val="22"/>
          <w:szCs w:val="22"/>
          <w:lang w:val="es-ES"/>
        </w:rPr>
        <w:t xml:space="preserve"> del aumento de la asignación del presupuesto ordinario destinada a la COI en el marco del tope presupuestario global revisado del 42 C/5 de la UNESCO debido a la reincorporación de los Estados Unidos de América a la Organización en julio de 2023, aprobado por la Conferencia General de la UNESCO en su 42ª reunión, en consonancia con las prioridades de los Estados Miembros y a fin de que la COI pueda mantener sus programas básicos y cumplir su función en la ejecución del Decenio de las Naciones Unidas de las Ciencias Oceánicas para el Desarrollo Sostenible (2021-2030);</w:t>
      </w:r>
    </w:p>
    <w:p w14:paraId="01732E7F" w14:textId="0C2F62D4"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lastRenderedPageBreak/>
        <w:t>Toma nota</w:t>
      </w:r>
      <w:r w:rsidRPr="00303A2B">
        <w:rPr>
          <w:rFonts w:asciiTheme="minorBidi" w:hAnsiTheme="minorBidi" w:cstheme="minorBidi"/>
          <w:sz w:val="22"/>
          <w:szCs w:val="22"/>
          <w:lang w:val="es-ES"/>
        </w:rPr>
        <w:t xml:space="preserve"> del Programa y Presupuesto revisados para 2024-2025 (42</w:t>
      </w:r>
      <w:r w:rsidR="00171EE4"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C/5), presentado</w:t>
      </w:r>
      <w:r w:rsidR="008164B1" w:rsidRPr="00303A2B">
        <w:rPr>
          <w:rFonts w:asciiTheme="minorBidi" w:hAnsiTheme="minorBidi" w:cstheme="minorBidi"/>
          <w:sz w:val="22"/>
          <w:szCs w:val="22"/>
          <w:lang w:val="es-ES"/>
        </w:rPr>
        <w:t>s</w:t>
      </w:r>
      <w:r w:rsidRPr="00303A2B">
        <w:rPr>
          <w:rFonts w:asciiTheme="minorBidi" w:hAnsiTheme="minorBidi" w:cstheme="minorBidi"/>
          <w:sz w:val="22"/>
          <w:szCs w:val="22"/>
          <w:lang w:val="es-ES"/>
        </w:rPr>
        <w:t xml:space="preserve"> en el documento IOC/EC-57/5.1.Doc(1), que fue</w:t>
      </w:r>
      <w:r w:rsidR="008164B1" w:rsidRPr="00303A2B">
        <w:rPr>
          <w:rFonts w:asciiTheme="minorBidi" w:hAnsiTheme="minorBidi" w:cstheme="minorBidi"/>
          <w:sz w:val="22"/>
          <w:szCs w:val="22"/>
          <w:lang w:val="es-ES"/>
        </w:rPr>
        <w:t>ron</w:t>
      </w:r>
      <w:r w:rsidRPr="00303A2B">
        <w:rPr>
          <w:rFonts w:asciiTheme="minorBidi" w:hAnsiTheme="minorBidi" w:cstheme="minorBidi"/>
          <w:sz w:val="22"/>
          <w:szCs w:val="22"/>
          <w:lang w:val="es-ES"/>
        </w:rPr>
        <w:t xml:space="preserve"> preparado</w:t>
      </w:r>
      <w:r w:rsidR="008164B1" w:rsidRPr="00303A2B">
        <w:rPr>
          <w:rFonts w:asciiTheme="minorBidi" w:hAnsiTheme="minorBidi" w:cstheme="minorBidi"/>
          <w:sz w:val="22"/>
          <w:szCs w:val="22"/>
          <w:lang w:val="es-ES"/>
        </w:rPr>
        <w:t>s</w:t>
      </w:r>
      <w:r w:rsidRPr="00303A2B">
        <w:rPr>
          <w:rFonts w:asciiTheme="minorBidi" w:hAnsiTheme="minorBidi" w:cstheme="minorBidi"/>
          <w:sz w:val="22"/>
          <w:szCs w:val="22"/>
          <w:lang w:val="es-ES"/>
        </w:rPr>
        <w:t xml:space="preserve"> como parte integrante del Proyecto de Programa y Presupuesto de la UNESCO para 2024-2025 (42</w:t>
      </w:r>
      <w:r w:rsidR="00171EE4"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C/5), presentado</w:t>
      </w:r>
      <w:r w:rsidR="008164B1" w:rsidRPr="00303A2B">
        <w:rPr>
          <w:rFonts w:asciiTheme="minorBidi" w:hAnsiTheme="minorBidi" w:cstheme="minorBidi"/>
          <w:sz w:val="22"/>
          <w:szCs w:val="22"/>
          <w:lang w:val="es-ES"/>
        </w:rPr>
        <w:t>s</w:t>
      </w:r>
      <w:r w:rsidRPr="00303A2B">
        <w:rPr>
          <w:rFonts w:asciiTheme="minorBidi" w:hAnsiTheme="minorBidi" w:cstheme="minorBidi"/>
          <w:sz w:val="22"/>
          <w:szCs w:val="22"/>
          <w:lang w:val="es-ES"/>
        </w:rPr>
        <w:t xml:space="preserve"> por la Directora General al Consejo Ejecutivo de la UNESCO en su 217ª reunión y aprobado</w:t>
      </w:r>
      <w:r w:rsidR="008164B1" w:rsidRPr="00303A2B">
        <w:rPr>
          <w:rFonts w:asciiTheme="minorBidi" w:hAnsiTheme="minorBidi" w:cstheme="minorBidi"/>
          <w:sz w:val="22"/>
          <w:szCs w:val="22"/>
          <w:lang w:val="es-ES"/>
        </w:rPr>
        <w:t>s</w:t>
      </w:r>
      <w:r w:rsidRPr="00303A2B">
        <w:rPr>
          <w:rFonts w:asciiTheme="minorBidi" w:hAnsiTheme="minorBidi" w:cstheme="minorBidi"/>
          <w:sz w:val="22"/>
          <w:szCs w:val="22"/>
          <w:lang w:val="es-ES"/>
        </w:rPr>
        <w:t xml:space="preserve"> ulteriormente por la Conferencia General de la UNESCO en su 42ª reunión;</w:t>
      </w:r>
    </w:p>
    <w:p w14:paraId="3ACB6A58" w14:textId="3BED7D58"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Toma nota</w:t>
      </w:r>
      <w:r w:rsidR="00A372CB" w:rsidRPr="00303A2B">
        <w:rPr>
          <w:rFonts w:asciiTheme="minorBidi" w:hAnsiTheme="minorBidi" w:cstheme="minorBidi"/>
          <w:b/>
          <w:bCs/>
          <w:sz w:val="22"/>
          <w:szCs w:val="22"/>
          <w:lang w:val="es-ES"/>
        </w:rPr>
        <w:t xml:space="preserve"> también</w:t>
      </w:r>
      <w:r w:rsidRPr="00303A2B">
        <w:rPr>
          <w:rFonts w:asciiTheme="minorBidi" w:hAnsiTheme="minorBidi" w:cstheme="minorBidi"/>
          <w:sz w:val="22"/>
          <w:szCs w:val="22"/>
          <w:lang w:val="es-ES"/>
        </w:rPr>
        <w:t xml:space="preserve"> de la información adicional proporcionada por la Secretaría</w:t>
      </w:r>
      <w:r w:rsidR="008164B1" w:rsidRPr="00303A2B">
        <w:rPr>
          <w:rFonts w:asciiTheme="minorBidi" w:hAnsiTheme="minorBidi" w:cstheme="minorBidi"/>
          <w:sz w:val="22"/>
          <w:szCs w:val="22"/>
          <w:lang w:val="es-ES"/>
        </w:rPr>
        <w:t xml:space="preserve"> de la COI</w:t>
      </w:r>
      <w:r w:rsidRPr="00303A2B">
        <w:rPr>
          <w:rFonts w:asciiTheme="minorBidi" w:hAnsiTheme="minorBidi" w:cstheme="minorBidi"/>
          <w:sz w:val="22"/>
          <w:szCs w:val="22"/>
          <w:lang w:val="es-ES"/>
        </w:rPr>
        <w:t xml:space="preserve"> a petición del Grupo Asesor sobre Finanzas de la COI para el periodo entre reuniones y recogida en el informe del Presidente del Grupo Asesor (IOC/EC-57/5.2.Doc(2)); </w:t>
      </w:r>
    </w:p>
    <w:p w14:paraId="2A88585F" w14:textId="1ED78AB2" w:rsidR="00EE3DE2"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Considera</w:t>
      </w:r>
      <w:r w:rsidRPr="00303A2B">
        <w:rPr>
          <w:rFonts w:asciiTheme="minorBidi" w:hAnsiTheme="minorBidi" w:cstheme="minorBidi"/>
          <w:sz w:val="22"/>
          <w:szCs w:val="22"/>
          <w:lang w:val="es-ES"/>
        </w:rPr>
        <w:t xml:space="preserve"> que las opciones programáticas empleadas por la Secretaría</w:t>
      </w:r>
      <w:r w:rsidR="008164B1" w:rsidRPr="00303A2B">
        <w:rPr>
          <w:rFonts w:asciiTheme="minorBidi" w:hAnsiTheme="minorBidi" w:cstheme="minorBidi"/>
          <w:sz w:val="22"/>
          <w:szCs w:val="22"/>
          <w:lang w:val="es-ES"/>
        </w:rPr>
        <w:t xml:space="preserve"> de la COI</w:t>
      </w:r>
      <w:r w:rsidRPr="00303A2B">
        <w:rPr>
          <w:rFonts w:asciiTheme="minorBidi" w:hAnsiTheme="minorBidi" w:cstheme="minorBidi"/>
          <w:sz w:val="22"/>
          <w:szCs w:val="22"/>
          <w:lang w:val="es-ES"/>
        </w:rPr>
        <w:t xml:space="preserve"> al elaborar el Programa y Presupuesto revisados para 2024-2025 (42</w:t>
      </w:r>
      <w:r w:rsidR="00171EE4"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C/5) se ajustan a las orientaciones estratégicas de los Estados Miembros que figuran en la resolución A-32/4 de la COI;</w:t>
      </w:r>
    </w:p>
    <w:p w14:paraId="5E8F7BB7" w14:textId="270306E0" w:rsidR="00FD25BA" w:rsidRPr="00303A2B" w:rsidRDefault="00E21928" w:rsidP="00AA28D3">
      <w:pPr>
        <w:pStyle w:val="ListParagraph"/>
        <w:numPr>
          <w:ilvl w:val="0"/>
          <w:numId w:val="11"/>
        </w:numPr>
        <w:tabs>
          <w:tab w:val="clear" w:pos="709"/>
          <w:tab w:val="left" w:pos="567"/>
        </w:tabs>
        <w:snapToGrid w:val="0"/>
        <w:spacing w:after="12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Acoge con beneplácito</w:t>
      </w:r>
      <w:r w:rsidRPr="00303A2B">
        <w:rPr>
          <w:rFonts w:asciiTheme="minorBidi" w:hAnsiTheme="minorBidi" w:cstheme="minorBidi"/>
          <w:sz w:val="22"/>
          <w:szCs w:val="22"/>
          <w:lang w:val="es-ES"/>
        </w:rPr>
        <w:t xml:space="preserve"> en particular</w:t>
      </w:r>
      <w:r w:rsidR="00FD25BA" w:rsidRPr="00303A2B">
        <w:rPr>
          <w:rFonts w:asciiTheme="minorBidi" w:eastAsia="Calibri" w:hAnsiTheme="minorBidi" w:cstheme="minorBidi"/>
          <w:sz w:val="22"/>
          <w:szCs w:val="22"/>
          <w:lang w:val="es-ES"/>
        </w:rPr>
        <w:t>:</w:t>
      </w:r>
    </w:p>
    <w:p w14:paraId="06DD684A" w14:textId="77777777" w:rsidR="00E21928" w:rsidRPr="00303A2B" w:rsidRDefault="00E21928" w:rsidP="00AA28D3">
      <w:pPr>
        <w:pStyle w:val="b"/>
        <w:numPr>
          <w:ilvl w:val="0"/>
          <w:numId w:val="10"/>
        </w:numPr>
        <w:tabs>
          <w:tab w:val="clear" w:pos="-737"/>
          <w:tab w:val="clear" w:pos="1134"/>
        </w:tabs>
        <w:ind w:left="567" w:hanging="578"/>
        <w:rPr>
          <w:rFonts w:asciiTheme="minorBidi" w:hAnsiTheme="minorBidi" w:cstheme="minorBidi"/>
          <w:sz w:val="22"/>
          <w:szCs w:val="22"/>
          <w:lang w:val="es-ES"/>
        </w:rPr>
      </w:pPr>
      <w:r w:rsidRPr="00303A2B">
        <w:rPr>
          <w:rFonts w:asciiTheme="minorBidi" w:hAnsiTheme="minorBidi" w:cstheme="minorBidi"/>
          <w:sz w:val="22"/>
          <w:szCs w:val="22"/>
          <w:lang w:val="es-ES"/>
        </w:rPr>
        <w:t>la estabilización de todas las funciones de la COI, junto con la inversión específica adicional en el IODE, el GOOS, el desarrollo de capacidades y los órganos subsidiarios regionales, considerados por la Asamblea de la COI como “zonas de vulnerabilidad crítica”;</w:t>
      </w:r>
    </w:p>
    <w:p w14:paraId="76F6A1CA" w14:textId="0DBCCD76" w:rsidR="00E21928" w:rsidRPr="00303A2B" w:rsidRDefault="00E21928" w:rsidP="00AA28D3">
      <w:pPr>
        <w:pStyle w:val="b"/>
        <w:numPr>
          <w:ilvl w:val="0"/>
          <w:numId w:val="10"/>
        </w:numPr>
        <w:tabs>
          <w:tab w:val="clear" w:pos="-737"/>
          <w:tab w:val="clear" w:pos="1134"/>
        </w:tabs>
        <w:ind w:left="567" w:hanging="578"/>
        <w:rPr>
          <w:rFonts w:asciiTheme="minorBidi" w:hAnsiTheme="minorBidi" w:cstheme="minorBidi"/>
          <w:sz w:val="22"/>
          <w:szCs w:val="22"/>
          <w:lang w:val="es-ES"/>
        </w:rPr>
      </w:pPr>
      <w:r w:rsidRPr="00303A2B">
        <w:rPr>
          <w:rFonts w:asciiTheme="minorBidi" w:hAnsiTheme="minorBidi" w:cstheme="minorBidi"/>
          <w:sz w:val="22"/>
          <w:szCs w:val="22"/>
          <w:lang w:val="es-ES"/>
        </w:rPr>
        <w:t>las decisiones del Secretario Ejecutivo</w:t>
      </w:r>
      <w:r w:rsidR="0044331B" w:rsidRPr="00303A2B">
        <w:rPr>
          <w:rFonts w:asciiTheme="minorBidi" w:hAnsiTheme="minorBidi" w:cstheme="minorBidi"/>
          <w:sz w:val="22"/>
          <w:szCs w:val="22"/>
          <w:lang w:val="es-ES"/>
        </w:rPr>
        <w:t xml:space="preserve"> de la COI</w:t>
      </w:r>
      <w:r w:rsidRPr="00303A2B">
        <w:rPr>
          <w:rFonts w:asciiTheme="minorBidi" w:hAnsiTheme="minorBidi" w:cstheme="minorBidi"/>
          <w:sz w:val="22"/>
          <w:szCs w:val="22"/>
          <w:lang w:val="es-ES"/>
        </w:rPr>
        <w:t xml:space="preserve"> en materia de dotación de personal, </w:t>
      </w:r>
      <w:r w:rsidR="0044331B" w:rsidRPr="00303A2B">
        <w:rPr>
          <w:rFonts w:asciiTheme="minorBidi" w:hAnsiTheme="minorBidi" w:cstheme="minorBidi"/>
          <w:sz w:val="22"/>
          <w:szCs w:val="22"/>
          <w:lang w:val="es-ES"/>
        </w:rPr>
        <w:t xml:space="preserve">destinadas </w:t>
      </w:r>
      <w:r w:rsidRPr="00303A2B">
        <w:rPr>
          <w:rFonts w:asciiTheme="minorBidi" w:hAnsiTheme="minorBidi" w:cstheme="minorBidi"/>
          <w:sz w:val="22"/>
          <w:szCs w:val="22"/>
          <w:lang w:val="es-ES"/>
        </w:rPr>
        <w:t>a reforzar las zonas de vulnerabilidad crítica mencionadas anteriormente con carácter prioritario;</w:t>
      </w:r>
    </w:p>
    <w:p w14:paraId="6EA9CA73" w14:textId="60B7E496" w:rsidR="00E21928" w:rsidRPr="00303A2B" w:rsidRDefault="00E21928" w:rsidP="00AA28D3">
      <w:pPr>
        <w:pStyle w:val="b"/>
        <w:numPr>
          <w:ilvl w:val="0"/>
          <w:numId w:val="10"/>
        </w:numPr>
        <w:tabs>
          <w:tab w:val="clear" w:pos="-737"/>
          <w:tab w:val="clear" w:pos="1134"/>
        </w:tabs>
        <w:ind w:left="567" w:hanging="578"/>
        <w:rPr>
          <w:rFonts w:asciiTheme="minorBidi" w:hAnsiTheme="minorBidi" w:cstheme="minorBidi"/>
          <w:sz w:val="22"/>
          <w:szCs w:val="22"/>
          <w:lang w:val="es-ES"/>
        </w:rPr>
      </w:pPr>
      <w:r w:rsidRPr="00303A2B">
        <w:rPr>
          <w:rFonts w:asciiTheme="minorBidi" w:hAnsiTheme="minorBidi" w:cstheme="minorBidi"/>
          <w:sz w:val="22"/>
          <w:szCs w:val="22"/>
          <w:lang w:val="es-ES"/>
        </w:rPr>
        <w:t xml:space="preserve">la mejora significativa de la proporción entre los recursos de personal y los recursos no relacionados con el personal sufragados con cargo al presupuesto ordinario; </w:t>
      </w:r>
      <w:r w:rsidR="0044331B" w:rsidRPr="00303A2B">
        <w:rPr>
          <w:rFonts w:asciiTheme="minorBidi" w:hAnsiTheme="minorBidi" w:cstheme="minorBidi"/>
          <w:sz w:val="22"/>
          <w:szCs w:val="22"/>
          <w:lang w:val="es-ES"/>
        </w:rPr>
        <w:t>y</w:t>
      </w:r>
    </w:p>
    <w:p w14:paraId="4398B143" w14:textId="02C89897" w:rsidR="00FD25BA" w:rsidRPr="00303A2B" w:rsidRDefault="00E21928" w:rsidP="00AA28D3">
      <w:pPr>
        <w:pStyle w:val="b"/>
        <w:numPr>
          <w:ilvl w:val="0"/>
          <w:numId w:val="10"/>
        </w:numPr>
        <w:tabs>
          <w:tab w:val="clear" w:pos="-737"/>
          <w:tab w:val="clear" w:pos="1134"/>
        </w:tabs>
        <w:ind w:left="567" w:hanging="578"/>
        <w:rPr>
          <w:rFonts w:asciiTheme="minorBidi" w:hAnsiTheme="minorBidi" w:cstheme="minorBidi"/>
          <w:sz w:val="22"/>
          <w:szCs w:val="22"/>
          <w:lang w:val="es-ES"/>
        </w:rPr>
      </w:pPr>
      <w:r w:rsidRPr="00303A2B">
        <w:rPr>
          <w:rFonts w:asciiTheme="minorBidi" w:hAnsiTheme="minorBidi" w:cstheme="minorBidi"/>
          <w:sz w:val="22"/>
          <w:szCs w:val="22"/>
          <w:lang w:val="es-ES"/>
        </w:rPr>
        <w:t>el incremento considerable del presupuesto ordinario asignado a las actividades de IOCAFRICA, en consonancia con la prioridad global “África” de la UNESCO, teniendo en cuenta la necesidad de disponer de recursos adecuados para la ejecución del programa;</w:t>
      </w:r>
    </w:p>
    <w:p w14:paraId="0E33C505" w14:textId="13836C37" w:rsidR="00E21928" w:rsidRPr="00303A2B" w:rsidRDefault="00E21928"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sz w:val="22"/>
          <w:szCs w:val="22"/>
          <w:lang w:val="es-ES"/>
        </w:rPr>
      </w:pPr>
      <w:r w:rsidRPr="00303A2B">
        <w:rPr>
          <w:rFonts w:asciiTheme="minorBidi" w:hAnsiTheme="minorBidi" w:cstheme="minorBidi"/>
          <w:b/>
          <w:bCs/>
          <w:sz w:val="22"/>
          <w:szCs w:val="22"/>
          <w:lang w:val="es-ES"/>
        </w:rPr>
        <w:t>Observa</w:t>
      </w:r>
      <w:r w:rsidR="00A372CB" w:rsidRPr="00303A2B">
        <w:rPr>
          <w:rFonts w:asciiTheme="minorBidi" w:hAnsiTheme="minorBidi" w:cstheme="minorBidi"/>
          <w:b/>
          <w:bCs/>
          <w:sz w:val="22"/>
          <w:szCs w:val="22"/>
          <w:lang w:val="es-ES"/>
        </w:rPr>
        <w:t xml:space="preserve"> también</w:t>
      </w:r>
      <w:r w:rsidRPr="00303A2B">
        <w:rPr>
          <w:rFonts w:asciiTheme="minorBidi" w:hAnsiTheme="minorBidi" w:cstheme="minorBidi"/>
          <w:sz w:val="22"/>
          <w:szCs w:val="22"/>
          <w:lang w:val="es-ES"/>
        </w:rPr>
        <w:t xml:space="preserve"> que las consultas sobre las prioridades son continuas en los programas y los órganos subsidiarios pertinentes para diseñar conjuntamente actividades prioritarias y optimizar la ejecución en 2024-2025, y para sentar las bases del Proyecto de 43 C/5 en consonancia con las áreas prioritarias del 42 C/5 y el espíritu de mantener los logros relacionados con los principios de alto nivel de la resolución A-32/4 de la COI;</w:t>
      </w:r>
    </w:p>
    <w:p w14:paraId="731A0411" w14:textId="1F22CDA2" w:rsidR="00E21928" w:rsidRPr="00303A2B" w:rsidRDefault="00A372CB"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sz w:val="22"/>
          <w:szCs w:val="22"/>
          <w:lang w:val="es-ES"/>
        </w:rPr>
      </w:pPr>
      <w:r w:rsidRPr="00303A2B">
        <w:rPr>
          <w:rFonts w:asciiTheme="minorBidi" w:hAnsiTheme="minorBidi" w:cstheme="minorBidi"/>
          <w:b/>
          <w:bCs/>
          <w:sz w:val="22"/>
          <w:szCs w:val="22"/>
          <w:lang w:val="es-ES"/>
        </w:rPr>
        <w:t>O</w:t>
      </w:r>
      <w:r w:rsidR="00E21928" w:rsidRPr="00303A2B">
        <w:rPr>
          <w:rFonts w:asciiTheme="minorBidi" w:hAnsiTheme="minorBidi" w:cstheme="minorBidi"/>
          <w:b/>
          <w:bCs/>
          <w:sz w:val="22"/>
          <w:szCs w:val="22"/>
          <w:lang w:val="es-ES"/>
        </w:rPr>
        <w:t>bserva</w:t>
      </w:r>
      <w:r w:rsidRPr="00303A2B">
        <w:rPr>
          <w:rFonts w:asciiTheme="minorBidi" w:hAnsiTheme="minorBidi" w:cstheme="minorBidi"/>
          <w:b/>
          <w:bCs/>
          <w:sz w:val="22"/>
          <w:szCs w:val="22"/>
          <w:lang w:val="es-ES"/>
        </w:rPr>
        <w:t xml:space="preserve"> además</w:t>
      </w:r>
      <w:r w:rsidR="00E21928" w:rsidRPr="00303A2B">
        <w:rPr>
          <w:rFonts w:asciiTheme="minorBidi" w:hAnsiTheme="minorBidi" w:cstheme="minorBidi"/>
          <w:b/>
          <w:bCs/>
          <w:sz w:val="22"/>
          <w:szCs w:val="22"/>
          <w:lang w:val="es-ES"/>
        </w:rPr>
        <w:t xml:space="preserve"> </w:t>
      </w:r>
      <w:r w:rsidR="00E21928" w:rsidRPr="00303A2B">
        <w:rPr>
          <w:rFonts w:asciiTheme="minorBidi" w:hAnsiTheme="minorBidi" w:cstheme="minorBidi"/>
          <w:sz w:val="22"/>
          <w:szCs w:val="22"/>
          <w:lang w:val="es-ES"/>
        </w:rPr>
        <w:t xml:space="preserve">con gran preocupación que algunas de las zonas de vulnerabilidad crítica de la COI mencionadas anteriormente siguen sin contar con suficiente personal y que su refuerzo debería tenerse en cuenta en los próximos ciclos presupuestarios; </w:t>
      </w:r>
    </w:p>
    <w:p w14:paraId="481AE34E" w14:textId="1537884F" w:rsidR="00E21928" w:rsidRPr="00303A2B" w:rsidRDefault="00E21928"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sz w:val="22"/>
          <w:szCs w:val="22"/>
          <w:lang w:val="es-ES"/>
        </w:rPr>
      </w:pPr>
      <w:r w:rsidRPr="00303A2B">
        <w:rPr>
          <w:rFonts w:asciiTheme="minorBidi" w:hAnsiTheme="minorBidi" w:cstheme="minorBidi"/>
          <w:b/>
          <w:bCs/>
          <w:sz w:val="22"/>
          <w:szCs w:val="22"/>
          <w:lang w:val="es-ES"/>
        </w:rPr>
        <w:t>Pide</w:t>
      </w:r>
      <w:r w:rsidRPr="00303A2B">
        <w:rPr>
          <w:rFonts w:asciiTheme="minorBidi" w:hAnsiTheme="minorBidi" w:cstheme="minorBidi"/>
          <w:sz w:val="22"/>
          <w:szCs w:val="22"/>
          <w:lang w:val="es-ES"/>
        </w:rPr>
        <w:t xml:space="preserve"> al Secretario Ejecutivo de la COI que, en consulta con la Mesa de la Comisión, ponga en marcha una evaluación externa de los procesos de gobernanza y gestión de la COI, con miras a racionalizar las operaciones y optimizar </w:t>
      </w:r>
      <w:r w:rsidR="0044331B" w:rsidRPr="00303A2B">
        <w:rPr>
          <w:rFonts w:asciiTheme="minorBidi" w:hAnsiTheme="minorBidi" w:cstheme="minorBidi"/>
          <w:sz w:val="22"/>
          <w:szCs w:val="22"/>
          <w:lang w:val="es-ES"/>
        </w:rPr>
        <w:t>la utilización</w:t>
      </w:r>
      <w:r w:rsidRPr="00303A2B">
        <w:rPr>
          <w:rFonts w:asciiTheme="minorBidi" w:hAnsiTheme="minorBidi" w:cstheme="minorBidi"/>
          <w:sz w:val="22"/>
          <w:szCs w:val="22"/>
          <w:lang w:val="es-ES"/>
        </w:rPr>
        <w:t xml:space="preserve"> de los recursos para ajustarse verdaderamente a sus fines en respuesta a los rápidos cambios en la agenda oceánica y la creciente demanda de los Estados Miembros y los procesos multilaterales; </w:t>
      </w:r>
    </w:p>
    <w:p w14:paraId="4A8F0D2A" w14:textId="70ECA329" w:rsidR="00E21928" w:rsidRPr="00303A2B" w:rsidRDefault="00E21928"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sz w:val="22"/>
          <w:szCs w:val="22"/>
          <w:lang w:val="es-ES"/>
        </w:rPr>
      </w:pPr>
      <w:r w:rsidRPr="00303A2B">
        <w:rPr>
          <w:rFonts w:asciiTheme="minorBidi" w:hAnsiTheme="minorBidi" w:cstheme="minorBidi"/>
          <w:b/>
          <w:bCs/>
          <w:sz w:val="22"/>
          <w:szCs w:val="22"/>
          <w:lang w:val="es-ES"/>
        </w:rPr>
        <w:t>Aprueba</w:t>
      </w:r>
      <w:r w:rsidRPr="00303A2B">
        <w:rPr>
          <w:rFonts w:asciiTheme="minorBidi" w:hAnsiTheme="minorBidi" w:cstheme="minorBidi"/>
          <w:sz w:val="22"/>
          <w:szCs w:val="22"/>
          <w:lang w:val="es-ES"/>
        </w:rPr>
        <w:t xml:space="preserve"> el enfoque de las propuestas preliminares </w:t>
      </w:r>
      <w:r w:rsidR="0044331B" w:rsidRPr="00303A2B">
        <w:rPr>
          <w:rFonts w:asciiTheme="minorBidi" w:hAnsiTheme="minorBidi" w:cstheme="minorBidi"/>
          <w:sz w:val="22"/>
          <w:szCs w:val="22"/>
          <w:lang w:val="es-ES"/>
        </w:rPr>
        <w:t xml:space="preserve">sobre </w:t>
      </w:r>
      <w:r w:rsidRPr="00303A2B">
        <w:rPr>
          <w:rFonts w:asciiTheme="minorBidi" w:hAnsiTheme="minorBidi" w:cstheme="minorBidi"/>
          <w:sz w:val="22"/>
          <w:szCs w:val="22"/>
          <w:lang w:val="es-ES"/>
        </w:rPr>
        <w:t>el Programa y Presupuesto para</w:t>
      </w:r>
      <w:r w:rsidR="005F0827" w:rsidRPr="00303A2B">
        <w:rPr>
          <w:rFonts w:asciiTheme="minorBidi" w:hAnsiTheme="minorBidi" w:cstheme="minorBidi"/>
          <w:sz w:val="22"/>
          <w:szCs w:val="22"/>
          <w:lang w:val="es-ES"/>
        </w:rPr>
        <w:t> </w:t>
      </w:r>
      <w:r w:rsidRPr="00303A2B">
        <w:rPr>
          <w:rFonts w:asciiTheme="minorBidi" w:hAnsiTheme="minorBidi" w:cstheme="minorBidi"/>
          <w:sz w:val="22"/>
          <w:szCs w:val="22"/>
          <w:lang w:val="es-ES"/>
        </w:rPr>
        <w:t>2026</w:t>
      </w:r>
      <w:r w:rsidRPr="00303A2B">
        <w:rPr>
          <w:rFonts w:asciiTheme="minorBidi" w:hAnsiTheme="minorBidi" w:cstheme="minorBidi"/>
          <w:sz w:val="22"/>
          <w:szCs w:val="22"/>
          <w:lang w:val="es-ES"/>
        </w:rPr>
        <w:noBreakHyphen/>
        <w:t>2029 (Proyecto de 43 C/5), incluida la formulación del producto 1 de la COI, que figura en la Parte III del documento IOC/EC-57/5.1.Doc(1);</w:t>
      </w:r>
    </w:p>
    <w:p w14:paraId="6CF8D853" w14:textId="3B32EF37" w:rsidR="00E21928" w:rsidRPr="00303A2B" w:rsidRDefault="00E21928"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sz w:val="22"/>
          <w:szCs w:val="22"/>
          <w:lang w:val="es-ES"/>
        </w:rPr>
      </w:pPr>
      <w:r w:rsidRPr="00303A2B">
        <w:rPr>
          <w:rFonts w:asciiTheme="minorBidi" w:hAnsiTheme="minorBidi" w:cstheme="minorBidi"/>
          <w:b/>
          <w:bCs/>
          <w:sz w:val="22"/>
          <w:szCs w:val="22"/>
          <w:lang w:val="es-ES"/>
        </w:rPr>
        <w:lastRenderedPageBreak/>
        <w:t>Destaca</w:t>
      </w:r>
      <w:r w:rsidRPr="00303A2B">
        <w:rPr>
          <w:rFonts w:asciiTheme="minorBidi" w:hAnsiTheme="minorBidi" w:cstheme="minorBidi"/>
          <w:sz w:val="22"/>
          <w:szCs w:val="22"/>
          <w:lang w:val="es-ES"/>
        </w:rPr>
        <w:t xml:space="preserve"> la importancia crucial de llevar a cabo un proceso de consulta claro e integral con los Estados Miembros de la COI sobre </w:t>
      </w:r>
      <w:r w:rsidR="0044331B" w:rsidRPr="00303A2B">
        <w:rPr>
          <w:rFonts w:asciiTheme="minorBidi" w:hAnsiTheme="minorBidi" w:cstheme="minorBidi"/>
          <w:sz w:val="22"/>
          <w:szCs w:val="22"/>
          <w:lang w:val="es-ES"/>
        </w:rPr>
        <w:t xml:space="preserve">los asuntos de </w:t>
      </w:r>
      <w:r w:rsidRPr="00303A2B">
        <w:rPr>
          <w:rFonts w:asciiTheme="minorBidi" w:hAnsiTheme="minorBidi" w:cstheme="minorBidi"/>
          <w:sz w:val="22"/>
          <w:szCs w:val="22"/>
          <w:lang w:val="es-ES"/>
        </w:rPr>
        <w:t xml:space="preserve">gobernanza, programación y </w:t>
      </w:r>
      <w:r w:rsidR="0044331B" w:rsidRPr="00303A2B">
        <w:rPr>
          <w:rFonts w:asciiTheme="minorBidi" w:hAnsiTheme="minorBidi" w:cstheme="minorBidi"/>
          <w:sz w:val="22"/>
          <w:szCs w:val="22"/>
          <w:lang w:val="es-ES"/>
        </w:rPr>
        <w:t>presupuestación</w:t>
      </w:r>
      <w:r w:rsidRPr="00303A2B">
        <w:rPr>
          <w:rFonts w:asciiTheme="minorBidi" w:hAnsiTheme="minorBidi" w:cstheme="minorBidi"/>
          <w:sz w:val="22"/>
          <w:szCs w:val="22"/>
          <w:lang w:val="es-ES"/>
        </w:rPr>
        <w:t xml:space="preserve"> de la Comisión;</w:t>
      </w:r>
    </w:p>
    <w:p w14:paraId="218FE0B7" w14:textId="0A429943" w:rsidR="00E21928" w:rsidRPr="00303A2B" w:rsidRDefault="00E21928"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sz w:val="22"/>
          <w:szCs w:val="22"/>
          <w:lang w:val="es-ES"/>
        </w:rPr>
      </w:pPr>
      <w:r w:rsidRPr="00303A2B">
        <w:rPr>
          <w:rFonts w:asciiTheme="minorBidi" w:hAnsiTheme="minorBidi" w:cstheme="minorBidi"/>
          <w:b/>
          <w:bCs/>
          <w:sz w:val="22"/>
          <w:szCs w:val="22"/>
          <w:lang w:val="es-ES"/>
        </w:rPr>
        <w:t>Pide</w:t>
      </w:r>
      <w:r w:rsidR="00A372CB" w:rsidRPr="00303A2B">
        <w:rPr>
          <w:rFonts w:asciiTheme="minorBidi" w:hAnsiTheme="minorBidi" w:cstheme="minorBidi"/>
          <w:b/>
          <w:bCs/>
          <w:sz w:val="22"/>
          <w:szCs w:val="22"/>
          <w:lang w:val="es-ES"/>
        </w:rPr>
        <w:t xml:space="preserve"> también</w:t>
      </w:r>
      <w:r w:rsidRPr="00303A2B">
        <w:rPr>
          <w:rFonts w:asciiTheme="minorBidi" w:hAnsiTheme="minorBidi" w:cstheme="minorBidi"/>
          <w:sz w:val="22"/>
          <w:szCs w:val="22"/>
          <w:lang w:val="es-ES"/>
        </w:rPr>
        <w:t xml:space="preserve"> al Secretario Ejecutivo de la COI que elabore la propuesta para el Programa y Presupuesto para 2026-2029 (Proyecto de 43 C/5), que se someterá a la aprobación de la Asamblea de la COI en su 33ª reunión, manteniendo a los Estados Miembros informados e implicados en todos los avances relevantes durante el periodo entre reuniones, entre otras cosas por medio de reuniones virtuales periódicas y oportunas del Grupo Asesor sobre Finanzas para el periodo entre reuniones; </w:t>
      </w:r>
    </w:p>
    <w:p w14:paraId="1DC85800" w14:textId="4FBEB917" w:rsidR="00172AD7" w:rsidRPr="00303A2B" w:rsidRDefault="0044331B" w:rsidP="00AA28D3">
      <w:pPr>
        <w:pStyle w:val="ListParagraph"/>
        <w:keepNext/>
        <w:tabs>
          <w:tab w:val="clear" w:pos="709"/>
          <w:tab w:val="left" w:pos="567"/>
        </w:tabs>
        <w:snapToGrid w:val="0"/>
        <w:spacing w:after="120"/>
        <w:ind w:left="0"/>
        <w:contextualSpacing w:val="0"/>
        <w:jc w:val="center"/>
        <w:rPr>
          <w:rFonts w:asciiTheme="minorBidi" w:eastAsia="Calibri" w:hAnsiTheme="minorBidi" w:cstheme="minorBidi"/>
          <w:b/>
          <w:bCs/>
          <w:sz w:val="22"/>
          <w:szCs w:val="22"/>
          <w:lang w:val="es-ES"/>
        </w:rPr>
      </w:pPr>
      <w:r w:rsidRPr="00303A2B">
        <w:rPr>
          <w:rFonts w:asciiTheme="minorBidi" w:eastAsia="Calibri" w:hAnsiTheme="minorBidi" w:cstheme="minorBidi"/>
          <w:b/>
          <w:bCs/>
          <w:sz w:val="22"/>
          <w:szCs w:val="22"/>
          <w:lang w:val="es-ES"/>
        </w:rPr>
        <w:t xml:space="preserve">Parte </w:t>
      </w:r>
      <w:r w:rsidR="00172AD7" w:rsidRPr="00303A2B">
        <w:rPr>
          <w:rFonts w:asciiTheme="minorBidi" w:eastAsia="Calibri" w:hAnsiTheme="minorBidi" w:cstheme="minorBidi"/>
          <w:b/>
          <w:bCs/>
          <w:sz w:val="22"/>
          <w:szCs w:val="22"/>
          <w:lang w:val="es-ES"/>
        </w:rPr>
        <w:t>III.</w:t>
      </w:r>
    </w:p>
    <w:p w14:paraId="07228CD6" w14:textId="349E5140" w:rsidR="00172AD7" w:rsidRPr="00303A2B" w:rsidRDefault="00E21928" w:rsidP="00AA28D3">
      <w:pPr>
        <w:keepNext/>
        <w:spacing w:after="240"/>
        <w:jc w:val="center"/>
        <w:rPr>
          <w:rFonts w:asciiTheme="minorBidi" w:eastAsia="Calibri" w:hAnsiTheme="minorBidi" w:cstheme="minorBidi"/>
          <w:b/>
          <w:bCs/>
          <w:sz w:val="22"/>
          <w:szCs w:val="22"/>
          <w:lang w:val="es-ES"/>
        </w:rPr>
      </w:pPr>
      <w:r w:rsidRPr="00303A2B">
        <w:rPr>
          <w:rFonts w:asciiTheme="minorBidi" w:eastAsia="Calibri" w:hAnsiTheme="minorBidi" w:cstheme="minorBidi"/>
          <w:b/>
          <w:bCs/>
          <w:sz w:val="22"/>
          <w:szCs w:val="22"/>
          <w:lang w:val="es-ES"/>
        </w:rPr>
        <w:t>Plan de acción en respuesta a la evaluación por la IOS del posicionamiento estratégico de la COI - Información actualizada sobre la ejecución</w:t>
      </w:r>
    </w:p>
    <w:p w14:paraId="314270EE" w14:textId="4C0CFEC8" w:rsidR="00E21928" w:rsidRPr="00303A2B" w:rsidRDefault="00E21928"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Recuerda</w:t>
      </w:r>
      <w:r w:rsidRPr="00303A2B">
        <w:rPr>
          <w:rFonts w:asciiTheme="minorBidi" w:hAnsiTheme="minorBidi" w:cstheme="minorBidi"/>
          <w:sz w:val="22"/>
          <w:szCs w:val="22"/>
          <w:lang w:val="es-ES"/>
        </w:rPr>
        <w:t xml:space="preserve"> que el Plan de acción en respuesta a la evaluación por la IOS del posicionamiento estratégico de la COI fue aprobado por la Asamblea de la COI en su 32ª reunión, presentado en el documento A-32/6.3.Doc(1) y reproducido para el Consejo Ejecutivo</w:t>
      </w:r>
      <w:r w:rsidR="0044331B" w:rsidRPr="00303A2B">
        <w:rPr>
          <w:rFonts w:asciiTheme="minorBidi" w:hAnsiTheme="minorBidi" w:cstheme="minorBidi"/>
          <w:sz w:val="22"/>
          <w:szCs w:val="22"/>
          <w:lang w:val="es-ES"/>
        </w:rPr>
        <w:t xml:space="preserve"> de la COI</w:t>
      </w:r>
      <w:r w:rsidRPr="00303A2B">
        <w:rPr>
          <w:rFonts w:asciiTheme="minorBidi" w:hAnsiTheme="minorBidi" w:cstheme="minorBidi"/>
          <w:sz w:val="22"/>
          <w:szCs w:val="22"/>
          <w:lang w:val="es-ES"/>
        </w:rPr>
        <w:t xml:space="preserve"> en el documento IOC/EC</w:t>
      </w:r>
      <w:r w:rsidRPr="00303A2B">
        <w:rPr>
          <w:rFonts w:asciiTheme="minorBidi" w:hAnsiTheme="minorBidi" w:cstheme="minorBidi"/>
          <w:sz w:val="22"/>
          <w:szCs w:val="22"/>
          <w:lang w:val="es-ES"/>
        </w:rPr>
        <w:noBreakHyphen/>
        <w:t>57/5.2.Doc(1), con la información actualizada sobre la ejecución en el cuadro titulado “Resumen de las medidas propuestas e información actualizada sobre los progresos realizados”;</w:t>
      </w:r>
    </w:p>
    <w:p w14:paraId="5CF3325A" w14:textId="050E2680" w:rsidR="00E21928" w:rsidRPr="00303A2B" w:rsidRDefault="00E21928"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Recuerda también</w:t>
      </w:r>
      <w:r w:rsidRPr="00303A2B">
        <w:rPr>
          <w:rFonts w:asciiTheme="minorBidi" w:hAnsiTheme="minorBidi" w:cstheme="minorBidi"/>
          <w:sz w:val="22"/>
          <w:szCs w:val="22"/>
          <w:lang w:val="es-ES"/>
        </w:rPr>
        <w:t xml:space="preserve"> que la Asamblea de la COI, en su 32ª reunión, pidió a la Secretaría</w:t>
      </w:r>
      <w:r w:rsidR="0044331B" w:rsidRPr="00303A2B">
        <w:rPr>
          <w:rFonts w:asciiTheme="minorBidi" w:hAnsiTheme="minorBidi" w:cstheme="minorBidi"/>
          <w:sz w:val="22"/>
          <w:szCs w:val="22"/>
          <w:lang w:val="es-ES"/>
        </w:rPr>
        <w:t xml:space="preserve"> de la COI</w:t>
      </w:r>
      <w:r w:rsidRPr="00303A2B">
        <w:rPr>
          <w:rFonts w:asciiTheme="minorBidi" w:hAnsiTheme="minorBidi" w:cstheme="minorBidi"/>
          <w:sz w:val="22"/>
          <w:szCs w:val="22"/>
          <w:lang w:val="es-ES"/>
        </w:rPr>
        <w:t xml:space="preserve"> que llevara adelante la ejecución del plan de acción “teniendo en cuenta la evolución de la situación de la COI, incluidos los recursos disponibles, proponiendo ajustes en consecuencia e informando sobre los progresos realizados a los órganos rectores de la COI y de la UNESCO”;</w:t>
      </w:r>
    </w:p>
    <w:p w14:paraId="78DF8301" w14:textId="77777777" w:rsidR="00E21928" w:rsidRPr="00303A2B" w:rsidRDefault="00E21928"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Acoge con beneplácito</w:t>
      </w:r>
      <w:r w:rsidRPr="00303A2B">
        <w:rPr>
          <w:rFonts w:asciiTheme="minorBidi" w:hAnsiTheme="minorBidi" w:cstheme="minorBidi"/>
          <w:sz w:val="22"/>
          <w:szCs w:val="22"/>
          <w:lang w:val="es-ES"/>
        </w:rPr>
        <w:t xml:space="preserve"> la información actualizada sobre la ejecución que figura en el “Resumen de las medidas propuestas e información actualizada sobre los progresos realizados” mencionado anteriormente; </w:t>
      </w:r>
    </w:p>
    <w:p w14:paraId="31B1B52D" w14:textId="766BD197" w:rsidR="00E21928" w:rsidRPr="00303A2B" w:rsidRDefault="0044331B"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 xml:space="preserve">Está </w:t>
      </w:r>
      <w:r w:rsidR="00DE0815" w:rsidRPr="00303A2B">
        <w:rPr>
          <w:rFonts w:asciiTheme="minorBidi" w:hAnsiTheme="minorBidi" w:cstheme="minorBidi"/>
          <w:b/>
          <w:bCs/>
          <w:sz w:val="22"/>
          <w:szCs w:val="22"/>
          <w:lang w:val="es-ES"/>
        </w:rPr>
        <w:t>de acuerdo</w:t>
      </w:r>
      <w:r w:rsidRPr="00303A2B">
        <w:rPr>
          <w:rFonts w:asciiTheme="minorBidi" w:hAnsiTheme="minorBidi" w:cstheme="minorBidi"/>
          <w:sz w:val="22"/>
          <w:szCs w:val="22"/>
          <w:lang w:val="es-ES"/>
        </w:rPr>
        <w:t xml:space="preserve"> </w:t>
      </w:r>
      <w:r w:rsidR="00E21928" w:rsidRPr="00303A2B">
        <w:rPr>
          <w:rFonts w:asciiTheme="minorBidi" w:hAnsiTheme="minorBidi" w:cstheme="minorBidi"/>
          <w:sz w:val="22"/>
          <w:szCs w:val="22"/>
          <w:lang w:val="es-ES"/>
        </w:rPr>
        <w:t>con la evaluación del Secretario Ejecutivo de la COI en que, si bien algunas medidas ya se han ejecutado y otras están en curso, varias medidas estratégicas requerirán mayor reflexión y debate con los Estados Miembros en el marco de la nueva fase de la consulta “La COI y el futuro del océano”;</w:t>
      </w:r>
    </w:p>
    <w:p w14:paraId="60AC511E" w14:textId="098043E9" w:rsidR="002A7ED5" w:rsidRPr="00303A2B" w:rsidRDefault="00E21928"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b/>
          <w:bCs/>
          <w:sz w:val="22"/>
          <w:szCs w:val="22"/>
          <w:lang w:val="es-ES"/>
        </w:rPr>
      </w:pPr>
      <w:r w:rsidRPr="00303A2B">
        <w:rPr>
          <w:rFonts w:asciiTheme="minorBidi" w:hAnsiTheme="minorBidi" w:cstheme="minorBidi"/>
          <w:b/>
          <w:bCs/>
          <w:sz w:val="22"/>
          <w:szCs w:val="22"/>
          <w:lang w:val="es-ES"/>
        </w:rPr>
        <w:t>Pide</w:t>
      </w:r>
      <w:r w:rsidRPr="00303A2B">
        <w:rPr>
          <w:rFonts w:asciiTheme="minorBidi" w:hAnsiTheme="minorBidi" w:cstheme="minorBidi"/>
          <w:sz w:val="22"/>
          <w:szCs w:val="22"/>
          <w:lang w:val="es-ES"/>
        </w:rPr>
        <w:t xml:space="preserve"> al Secretario Ejecutivo de la COI que proceda en consecuencia y presente la propuesta resultante a la Asamblea de la COI para ser examinada en su 33ª reunión;</w:t>
      </w:r>
    </w:p>
    <w:p w14:paraId="30F12FF0" w14:textId="4DF581EF" w:rsidR="006C6238" w:rsidRPr="00303A2B" w:rsidRDefault="00DE0815" w:rsidP="00AA28D3">
      <w:pPr>
        <w:pStyle w:val="ListParagraph"/>
        <w:keepNext/>
        <w:tabs>
          <w:tab w:val="clear" w:pos="709"/>
          <w:tab w:val="left" w:pos="567"/>
        </w:tabs>
        <w:snapToGrid w:val="0"/>
        <w:spacing w:after="120"/>
        <w:ind w:left="0"/>
        <w:contextualSpacing w:val="0"/>
        <w:jc w:val="center"/>
        <w:rPr>
          <w:rFonts w:asciiTheme="minorBidi" w:hAnsiTheme="minorBidi" w:cstheme="minorBidi"/>
          <w:b/>
          <w:bCs/>
          <w:iCs/>
          <w:snapToGrid w:val="0"/>
          <w:color w:val="000000"/>
          <w:sz w:val="22"/>
          <w:szCs w:val="22"/>
          <w:lang w:val="es-ES"/>
        </w:rPr>
      </w:pPr>
      <w:r w:rsidRPr="00303A2B">
        <w:rPr>
          <w:rFonts w:asciiTheme="minorBidi" w:eastAsia="Calibri" w:hAnsiTheme="minorBidi" w:cstheme="minorBidi"/>
          <w:b/>
          <w:bCs/>
          <w:sz w:val="22"/>
          <w:szCs w:val="22"/>
          <w:lang w:val="es-ES"/>
        </w:rPr>
        <w:t xml:space="preserve">Parte </w:t>
      </w:r>
      <w:r w:rsidR="008F2F05" w:rsidRPr="00303A2B">
        <w:rPr>
          <w:rFonts w:asciiTheme="minorBidi" w:eastAsia="Calibri" w:hAnsiTheme="minorBidi" w:cstheme="minorBidi"/>
          <w:b/>
          <w:bCs/>
          <w:sz w:val="22"/>
          <w:szCs w:val="22"/>
          <w:lang w:val="es-ES"/>
        </w:rPr>
        <w:t>IV</w:t>
      </w:r>
      <w:r w:rsidR="008F2F05" w:rsidRPr="00303A2B">
        <w:rPr>
          <w:rFonts w:asciiTheme="minorBidi" w:hAnsiTheme="minorBidi" w:cstheme="minorBidi"/>
          <w:b/>
          <w:bCs/>
          <w:iCs/>
          <w:snapToGrid w:val="0"/>
          <w:color w:val="000000"/>
          <w:sz w:val="22"/>
          <w:szCs w:val="22"/>
          <w:lang w:val="es-ES"/>
        </w:rPr>
        <w:t>.</w:t>
      </w:r>
    </w:p>
    <w:p w14:paraId="72851A3A" w14:textId="7164F3E7" w:rsidR="008F2F05" w:rsidRPr="00303A2B" w:rsidRDefault="00E21928" w:rsidP="00AA28D3">
      <w:pPr>
        <w:pStyle w:val="ListParagraph"/>
        <w:keepNext/>
        <w:tabs>
          <w:tab w:val="clear" w:pos="709"/>
          <w:tab w:val="left" w:pos="567"/>
        </w:tabs>
        <w:snapToGrid w:val="0"/>
        <w:spacing w:after="240"/>
        <w:ind w:left="0"/>
        <w:contextualSpacing w:val="0"/>
        <w:jc w:val="center"/>
        <w:rPr>
          <w:rFonts w:asciiTheme="minorBidi" w:hAnsiTheme="minorBidi" w:cstheme="minorBidi"/>
          <w:b/>
          <w:bCs/>
          <w:iCs/>
          <w:snapToGrid w:val="0"/>
          <w:color w:val="000000"/>
          <w:sz w:val="22"/>
          <w:szCs w:val="22"/>
          <w:lang w:val="es-ES"/>
        </w:rPr>
      </w:pPr>
      <w:r w:rsidRPr="00303A2B">
        <w:rPr>
          <w:rFonts w:asciiTheme="minorBidi" w:hAnsiTheme="minorBidi" w:cstheme="minorBidi"/>
          <w:b/>
          <w:bCs/>
          <w:iCs/>
          <w:snapToGrid w:val="0"/>
          <w:color w:val="000000"/>
          <w:sz w:val="22"/>
          <w:szCs w:val="22"/>
          <w:lang w:val="es-ES"/>
        </w:rPr>
        <w:t>Proceso de consulta “La COI y el futuro del océano”</w:t>
      </w:r>
    </w:p>
    <w:p w14:paraId="580C7398" w14:textId="77777777"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color w:val="000000"/>
          <w:sz w:val="22"/>
          <w:szCs w:val="22"/>
          <w:lang w:val="es-ES"/>
        </w:rPr>
      </w:pPr>
      <w:r w:rsidRPr="00303A2B">
        <w:rPr>
          <w:rFonts w:asciiTheme="minorBidi" w:hAnsiTheme="minorBidi" w:cstheme="minorBidi"/>
          <w:b/>
          <w:bCs/>
          <w:sz w:val="22"/>
          <w:szCs w:val="22"/>
          <w:lang w:val="es-ES"/>
        </w:rPr>
        <w:t>Recuerda</w:t>
      </w:r>
      <w:r w:rsidRPr="00303A2B">
        <w:rPr>
          <w:rFonts w:asciiTheme="minorBidi" w:hAnsiTheme="minorBidi" w:cstheme="minorBidi"/>
          <w:sz w:val="22"/>
          <w:szCs w:val="22"/>
          <w:lang w:val="es-ES"/>
        </w:rPr>
        <w:t xml:space="preserve"> la decisión A-32/5 de la COI, consciente de la condición de la COI como órgano con autonomía funcional dentro de la UNESCO;</w:t>
      </w:r>
    </w:p>
    <w:p w14:paraId="70BB85BA" w14:textId="13ED50B3"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color w:val="000000"/>
          <w:sz w:val="22"/>
          <w:szCs w:val="22"/>
          <w:lang w:val="es-ES"/>
        </w:rPr>
      </w:pPr>
      <w:r w:rsidRPr="00303A2B">
        <w:rPr>
          <w:rFonts w:asciiTheme="minorBidi" w:hAnsiTheme="minorBidi" w:cstheme="minorBidi"/>
          <w:b/>
          <w:bCs/>
          <w:sz w:val="22"/>
          <w:szCs w:val="22"/>
          <w:lang w:val="es-ES"/>
        </w:rPr>
        <w:t>Toma nota</w:t>
      </w:r>
      <w:r w:rsidRPr="00303A2B">
        <w:rPr>
          <w:rFonts w:asciiTheme="minorBidi" w:hAnsiTheme="minorBidi" w:cstheme="minorBidi"/>
          <w:sz w:val="22"/>
          <w:szCs w:val="22"/>
          <w:lang w:val="es-ES"/>
        </w:rPr>
        <w:t xml:space="preserve"> de la propuesta que figura en el documento IOC/EC-57/3.1.Doc(4) de que en la consulta </w:t>
      </w:r>
      <w:r w:rsidR="00D7260C" w:rsidRPr="00303A2B">
        <w:rPr>
          <w:rFonts w:asciiTheme="minorBidi" w:hAnsiTheme="minorBidi" w:cstheme="minorBidi"/>
          <w:sz w:val="22"/>
          <w:szCs w:val="22"/>
          <w:lang w:val="es-ES"/>
        </w:rPr>
        <w:t>“</w:t>
      </w:r>
      <w:r w:rsidRPr="00303A2B">
        <w:rPr>
          <w:rFonts w:asciiTheme="minorBidi" w:hAnsiTheme="minorBidi" w:cstheme="minorBidi"/>
          <w:sz w:val="22"/>
          <w:szCs w:val="22"/>
          <w:lang w:val="es-ES"/>
        </w:rPr>
        <w:t>La COI y el futuro del océano</w:t>
      </w:r>
      <w:r w:rsidR="00D7260C" w:rsidRPr="00303A2B">
        <w:rPr>
          <w:rFonts w:asciiTheme="minorBidi" w:hAnsiTheme="minorBidi" w:cstheme="minorBidi"/>
          <w:sz w:val="22"/>
          <w:szCs w:val="22"/>
          <w:lang w:val="es-ES"/>
        </w:rPr>
        <w:t>”</w:t>
      </w:r>
      <w:r w:rsidRPr="00303A2B">
        <w:rPr>
          <w:rFonts w:asciiTheme="minorBidi" w:hAnsiTheme="minorBidi" w:cstheme="minorBidi"/>
          <w:sz w:val="22"/>
          <w:szCs w:val="22"/>
          <w:lang w:val="es-ES"/>
        </w:rPr>
        <w:t xml:space="preserve"> se prevea un proceso de tres años sincronizado con el calendario de las reuniones de los órganos rectores de la COI;</w:t>
      </w:r>
    </w:p>
    <w:p w14:paraId="650625E8" w14:textId="21549793"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color w:val="000000"/>
          <w:sz w:val="22"/>
          <w:szCs w:val="22"/>
          <w:lang w:val="es-ES"/>
        </w:rPr>
      </w:pPr>
      <w:r w:rsidRPr="00303A2B">
        <w:rPr>
          <w:rFonts w:asciiTheme="minorBidi" w:hAnsiTheme="minorBidi" w:cstheme="minorBidi"/>
          <w:b/>
          <w:bCs/>
          <w:sz w:val="22"/>
          <w:szCs w:val="22"/>
          <w:lang w:val="es-ES"/>
        </w:rPr>
        <w:t>Decide</w:t>
      </w:r>
      <w:r w:rsidRPr="00303A2B">
        <w:rPr>
          <w:rFonts w:asciiTheme="minorBidi" w:hAnsiTheme="minorBidi" w:cstheme="minorBidi"/>
          <w:sz w:val="22"/>
          <w:szCs w:val="22"/>
          <w:lang w:val="es-ES"/>
        </w:rPr>
        <w:t xml:space="preserve"> que la consulta se centrará en primer lugar en un examen general de las actividades relacionadas con la función de la COI consistente en prestar asistencia a los Estados Miembros </w:t>
      </w:r>
      <w:r w:rsidRPr="00303A2B">
        <w:rPr>
          <w:rFonts w:asciiTheme="minorBidi" w:hAnsiTheme="minorBidi" w:cstheme="minorBidi"/>
          <w:sz w:val="22"/>
          <w:szCs w:val="22"/>
          <w:lang w:val="es-ES"/>
        </w:rPr>
        <w:lastRenderedPageBreak/>
        <w:t xml:space="preserve">y otras partes interesadas, en particular determinando las lagunas y necesidades de los programas de la COI, a fin de facilitar de manera óptima las actividades actuales y nuevas en lo que respecta a la planificación oceánica sostenible y basada en la ciencia, el apoyo de las ciencias oceánicas a la aplicación de los convenios y marcos pertinentes de las Naciones Unidas, y </w:t>
      </w:r>
      <w:r w:rsidR="00DE0815" w:rsidRPr="00303A2B">
        <w:rPr>
          <w:rFonts w:asciiTheme="minorBidi" w:hAnsiTheme="minorBidi" w:cstheme="minorBidi"/>
          <w:sz w:val="22"/>
          <w:szCs w:val="22"/>
          <w:lang w:val="es-ES"/>
        </w:rPr>
        <w:t>e</w:t>
      </w:r>
      <w:r w:rsidRPr="00303A2B">
        <w:rPr>
          <w:rFonts w:asciiTheme="minorBidi" w:hAnsiTheme="minorBidi" w:cstheme="minorBidi"/>
          <w:sz w:val="22"/>
          <w:szCs w:val="22"/>
          <w:lang w:val="es-ES"/>
        </w:rPr>
        <w:t>l desarrollo de una economía oceánica sostenible;</w:t>
      </w:r>
    </w:p>
    <w:p w14:paraId="37E92081" w14:textId="77777777"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color w:val="000000"/>
          <w:sz w:val="22"/>
          <w:szCs w:val="22"/>
          <w:lang w:val="es-ES"/>
        </w:rPr>
      </w:pPr>
      <w:r w:rsidRPr="00303A2B">
        <w:rPr>
          <w:rFonts w:asciiTheme="minorBidi" w:hAnsiTheme="minorBidi" w:cstheme="minorBidi"/>
          <w:b/>
          <w:bCs/>
          <w:sz w:val="22"/>
          <w:szCs w:val="22"/>
          <w:lang w:val="es-ES"/>
        </w:rPr>
        <w:t>Decide también</w:t>
      </w:r>
      <w:r w:rsidRPr="00303A2B">
        <w:rPr>
          <w:rFonts w:asciiTheme="minorBidi" w:hAnsiTheme="minorBidi" w:cstheme="minorBidi"/>
          <w:sz w:val="22"/>
          <w:szCs w:val="22"/>
          <w:lang w:val="es-ES"/>
        </w:rPr>
        <w:t xml:space="preserve"> que el examen será llevado a cabo por la Secretaría de la COI en consulta con los programas de la COI, los órganos subsidiarios regionales de la COI, los Estados Miembros de la COI, entre otras cosas por conducto del Grupo Asesor sobre Finanzas para el periodo entre reuniones y los grupos de trabajo pertinentes de la COI para el periodo entre reuniones, en particular el grupo de trabajo de la COI sobre planificación y gestión sostenibles del océano, y otras partes interesadas pertinentes, según sea necesario;</w:t>
      </w:r>
    </w:p>
    <w:p w14:paraId="0590CBEF" w14:textId="1EEF760F"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color w:val="000000"/>
          <w:sz w:val="22"/>
          <w:szCs w:val="22"/>
          <w:lang w:val="es-ES"/>
        </w:rPr>
      </w:pPr>
      <w:r w:rsidRPr="00303A2B">
        <w:rPr>
          <w:rFonts w:asciiTheme="minorBidi" w:hAnsiTheme="minorBidi" w:cstheme="minorBidi"/>
          <w:b/>
          <w:bCs/>
          <w:sz w:val="22"/>
          <w:szCs w:val="22"/>
          <w:lang w:val="es-ES"/>
        </w:rPr>
        <w:t>Decide además</w:t>
      </w:r>
      <w:r w:rsidRPr="00303A2B">
        <w:rPr>
          <w:rFonts w:asciiTheme="minorBidi" w:hAnsiTheme="minorBidi" w:cstheme="minorBidi"/>
          <w:sz w:val="22"/>
          <w:szCs w:val="22"/>
          <w:lang w:val="es-ES"/>
        </w:rPr>
        <w:t xml:space="preserve"> que el examen se basará en el plan de acción en respuesta a la evaluación por la IOS del posicionamiento estratégico de la COI, la Estrategia a Plazo Medio de la COI (2022</w:t>
      </w:r>
      <w:r w:rsidRPr="00303A2B">
        <w:rPr>
          <w:rFonts w:asciiTheme="minorBidi" w:hAnsiTheme="minorBidi" w:cstheme="minorBidi"/>
          <w:sz w:val="22"/>
          <w:szCs w:val="22"/>
          <w:lang w:val="es-ES"/>
        </w:rPr>
        <w:noBreakHyphen/>
        <w:t>2029) y otros recursos pertinentes, según sea necesario;</w:t>
      </w:r>
    </w:p>
    <w:p w14:paraId="1EEC45DA" w14:textId="5AF9DB32" w:rsidR="0050473A" w:rsidRPr="00303A2B" w:rsidRDefault="00DE0815"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color w:val="000000"/>
          <w:sz w:val="22"/>
          <w:szCs w:val="22"/>
          <w:lang w:val="es-ES"/>
        </w:rPr>
      </w:pPr>
      <w:r w:rsidRPr="00303A2B">
        <w:rPr>
          <w:rFonts w:asciiTheme="minorBidi" w:hAnsiTheme="minorBidi" w:cstheme="minorBidi"/>
          <w:b/>
          <w:bCs/>
          <w:sz w:val="22"/>
          <w:szCs w:val="22"/>
          <w:lang w:val="es-ES"/>
        </w:rPr>
        <w:t>Pide</w:t>
      </w:r>
      <w:r w:rsidR="0050473A" w:rsidRPr="00303A2B">
        <w:rPr>
          <w:rFonts w:asciiTheme="minorBidi" w:hAnsiTheme="minorBidi" w:cstheme="minorBidi"/>
          <w:sz w:val="22"/>
          <w:szCs w:val="22"/>
          <w:lang w:val="es-ES"/>
        </w:rPr>
        <w:t xml:space="preserve"> al Secretario Ejecutivo de la COI que inicie el proceso de consulta, entre otras cosas, colaborando con el Grupo Asesor sobre Finanzas para el periodo entre reuniones en lo que respecta a las modalidades de examen, y </w:t>
      </w:r>
      <w:r w:rsidR="005F0827" w:rsidRPr="00303A2B">
        <w:rPr>
          <w:rFonts w:asciiTheme="minorBidi" w:hAnsiTheme="minorBidi" w:cstheme="minorBidi"/>
          <w:sz w:val="22"/>
          <w:szCs w:val="22"/>
          <w:lang w:val="es-ES"/>
        </w:rPr>
        <w:t>que proporcione</w:t>
      </w:r>
      <w:r w:rsidR="0050473A" w:rsidRPr="00303A2B">
        <w:rPr>
          <w:rFonts w:asciiTheme="minorBidi" w:hAnsiTheme="minorBidi" w:cstheme="minorBidi"/>
          <w:sz w:val="22"/>
          <w:szCs w:val="22"/>
          <w:lang w:val="es-ES"/>
        </w:rPr>
        <w:t xml:space="preserve"> periódicamente al Grupo Asesor información actualizada sobre los progresos realizados </w:t>
      </w:r>
      <w:r w:rsidRPr="00303A2B">
        <w:rPr>
          <w:rFonts w:asciiTheme="minorBidi" w:hAnsiTheme="minorBidi" w:cstheme="minorBidi"/>
          <w:sz w:val="22"/>
          <w:szCs w:val="22"/>
          <w:lang w:val="es-ES"/>
        </w:rPr>
        <w:t>con miras</w:t>
      </w:r>
      <w:r w:rsidR="0050473A" w:rsidRPr="00303A2B">
        <w:rPr>
          <w:rFonts w:asciiTheme="minorBidi" w:hAnsiTheme="minorBidi" w:cstheme="minorBidi"/>
          <w:sz w:val="22"/>
          <w:szCs w:val="22"/>
          <w:lang w:val="es-ES"/>
        </w:rPr>
        <w:t xml:space="preserve"> a las aportaciones y la orientación;</w:t>
      </w:r>
    </w:p>
    <w:p w14:paraId="118FAC83" w14:textId="26283C9F" w:rsidR="00E50DE1"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hAnsiTheme="minorBidi" w:cstheme="minorBidi"/>
          <w:color w:val="000000"/>
          <w:sz w:val="22"/>
          <w:szCs w:val="22"/>
          <w:lang w:val="es-ES"/>
        </w:rPr>
      </w:pPr>
      <w:r w:rsidRPr="00303A2B">
        <w:rPr>
          <w:rFonts w:asciiTheme="minorBidi" w:hAnsiTheme="minorBidi" w:cstheme="minorBidi"/>
          <w:b/>
          <w:bCs/>
          <w:sz w:val="22"/>
          <w:szCs w:val="22"/>
          <w:lang w:val="es-ES"/>
        </w:rPr>
        <w:t>Pide</w:t>
      </w:r>
      <w:r w:rsidR="00DE0815" w:rsidRPr="00303A2B">
        <w:rPr>
          <w:rFonts w:asciiTheme="minorBidi" w:hAnsiTheme="minorBidi" w:cstheme="minorBidi"/>
          <w:b/>
          <w:bCs/>
          <w:sz w:val="22"/>
          <w:szCs w:val="22"/>
          <w:lang w:val="es-ES"/>
        </w:rPr>
        <w:t xml:space="preserve"> también</w:t>
      </w:r>
      <w:r w:rsidRPr="00303A2B">
        <w:rPr>
          <w:rFonts w:asciiTheme="minorBidi" w:hAnsiTheme="minorBidi" w:cstheme="minorBidi"/>
          <w:sz w:val="22"/>
          <w:szCs w:val="22"/>
          <w:lang w:val="es-ES"/>
        </w:rPr>
        <w:t xml:space="preserve"> al Secretario Ejecutivo de la COI que presente los resultados y las recomendaciones </w:t>
      </w:r>
      <w:r w:rsidR="00DE0815" w:rsidRPr="00303A2B">
        <w:rPr>
          <w:rFonts w:asciiTheme="minorBidi" w:hAnsiTheme="minorBidi" w:cstheme="minorBidi"/>
          <w:sz w:val="22"/>
          <w:szCs w:val="22"/>
          <w:lang w:val="es-ES"/>
        </w:rPr>
        <w:t xml:space="preserve">del examen </w:t>
      </w:r>
      <w:r w:rsidRPr="00303A2B">
        <w:rPr>
          <w:rFonts w:asciiTheme="minorBidi" w:hAnsiTheme="minorBidi" w:cstheme="minorBidi"/>
          <w:sz w:val="22"/>
          <w:szCs w:val="22"/>
          <w:lang w:val="es-ES"/>
        </w:rPr>
        <w:t>a la Asamblea de la COI en su 33ª reunión para que brinde orientaciones sobre la manera de proceder en la segunda fase de la consulta;</w:t>
      </w:r>
    </w:p>
    <w:p w14:paraId="02BD587A" w14:textId="0CB34184" w:rsidR="00E21928" w:rsidRPr="00303A2B" w:rsidRDefault="00DE0815" w:rsidP="00AA28D3">
      <w:pPr>
        <w:pStyle w:val="ListParagraph"/>
        <w:keepNext/>
        <w:keepLines/>
        <w:tabs>
          <w:tab w:val="clear" w:pos="709"/>
          <w:tab w:val="left" w:pos="567"/>
        </w:tabs>
        <w:snapToGrid w:val="0"/>
        <w:spacing w:after="120"/>
        <w:ind w:left="0"/>
        <w:contextualSpacing w:val="0"/>
        <w:jc w:val="center"/>
        <w:rPr>
          <w:rFonts w:asciiTheme="minorBidi" w:eastAsia="Calibri" w:hAnsiTheme="minorBidi" w:cstheme="minorBidi"/>
          <w:b/>
          <w:bCs/>
          <w:sz w:val="22"/>
          <w:szCs w:val="22"/>
          <w:lang w:val="es-ES"/>
        </w:rPr>
      </w:pPr>
      <w:r w:rsidRPr="00303A2B">
        <w:rPr>
          <w:rFonts w:asciiTheme="minorBidi" w:eastAsia="Calibri" w:hAnsiTheme="minorBidi" w:cstheme="minorBidi"/>
          <w:b/>
          <w:bCs/>
          <w:sz w:val="22"/>
          <w:szCs w:val="22"/>
          <w:lang w:val="es-ES"/>
        </w:rPr>
        <w:t xml:space="preserve">Parte </w:t>
      </w:r>
      <w:r w:rsidR="00DC62B7" w:rsidRPr="00303A2B">
        <w:rPr>
          <w:rFonts w:asciiTheme="minorBidi" w:eastAsia="Calibri" w:hAnsiTheme="minorBidi" w:cstheme="minorBidi"/>
          <w:b/>
          <w:bCs/>
          <w:sz w:val="22"/>
          <w:szCs w:val="22"/>
          <w:lang w:val="es-ES"/>
        </w:rPr>
        <w:t>V</w:t>
      </w:r>
      <w:r w:rsidR="00EE3DE2" w:rsidRPr="00303A2B">
        <w:rPr>
          <w:rFonts w:asciiTheme="minorBidi" w:eastAsia="Calibri" w:hAnsiTheme="minorBidi" w:cstheme="minorBidi"/>
          <w:b/>
          <w:bCs/>
          <w:sz w:val="22"/>
          <w:szCs w:val="22"/>
          <w:lang w:val="es-ES"/>
        </w:rPr>
        <w:t>.</w:t>
      </w:r>
    </w:p>
    <w:p w14:paraId="3EA35D54" w14:textId="08E18E58" w:rsidR="00DC62B7" w:rsidRPr="00303A2B" w:rsidRDefault="00E21928" w:rsidP="00AA28D3">
      <w:pPr>
        <w:pStyle w:val="ListParagraph"/>
        <w:keepNext/>
        <w:keepLines/>
        <w:spacing w:after="240"/>
        <w:ind w:left="0"/>
        <w:contextualSpacing w:val="0"/>
        <w:jc w:val="center"/>
        <w:rPr>
          <w:rFonts w:asciiTheme="minorBidi" w:eastAsia="Calibri" w:hAnsiTheme="minorBidi" w:cstheme="minorBidi"/>
          <w:b/>
          <w:bCs/>
          <w:sz w:val="22"/>
          <w:szCs w:val="22"/>
          <w:lang w:val="es-ES"/>
        </w:rPr>
      </w:pPr>
      <w:r w:rsidRPr="00303A2B">
        <w:rPr>
          <w:rFonts w:asciiTheme="minorBidi" w:eastAsia="Calibri" w:hAnsiTheme="minorBidi" w:cstheme="minorBidi"/>
          <w:b/>
          <w:bCs/>
          <w:sz w:val="22"/>
          <w:szCs w:val="22"/>
          <w:lang w:val="es-ES"/>
        </w:rPr>
        <w:t>Aplicación de la resolución A-32/4 Parte III – Gobernanza y métodos de trabajo</w:t>
      </w:r>
      <w:r w:rsidR="002945A0" w:rsidRPr="00303A2B">
        <w:rPr>
          <w:rFonts w:asciiTheme="minorBidi" w:eastAsia="Calibri" w:hAnsiTheme="minorBidi" w:cstheme="minorBidi"/>
          <w:b/>
          <w:bCs/>
          <w:sz w:val="22"/>
          <w:szCs w:val="22"/>
          <w:lang w:val="es-ES"/>
        </w:rPr>
        <w:br/>
      </w:r>
      <w:r w:rsidRPr="00303A2B">
        <w:rPr>
          <w:rFonts w:asciiTheme="minorBidi" w:eastAsia="Calibri" w:hAnsiTheme="minorBidi" w:cstheme="minorBidi"/>
          <w:b/>
          <w:bCs/>
          <w:sz w:val="22"/>
          <w:szCs w:val="22"/>
          <w:lang w:val="es-ES"/>
        </w:rPr>
        <w:t>Proyecto de directrices para la preparación de los Estados Miembros y su participación en las elecciones bienales de la Mesa de la Comisión (Presidente y vicepresidentes de</w:t>
      </w:r>
      <w:r w:rsidR="003B3730" w:rsidRPr="00303A2B">
        <w:rPr>
          <w:rFonts w:asciiTheme="minorBidi" w:eastAsia="Calibri" w:hAnsiTheme="minorBidi" w:cstheme="minorBidi"/>
          <w:b/>
          <w:bCs/>
          <w:sz w:val="22"/>
          <w:szCs w:val="22"/>
          <w:lang w:val="es-ES"/>
        </w:rPr>
        <w:t> </w:t>
      </w:r>
      <w:r w:rsidRPr="00303A2B">
        <w:rPr>
          <w:rFonts w:asciiTheme="minorBidi" w:eastAsia="Calibri" w:hAnsiTheme="minorBidi" w:cstheme="minorBidi"/>
          <w:b/>
          <w:bCs/>
          <w:sz w:val="22"/>
          <w:szCs w:val="22"/>
          <w:lang w:val="es-ES"/>
        </w:rPr>
        <w:t>la</w:t>
      </w:r>
      <w:r w:rsidR="003B3730" w:rsidRPr="00303A2B">
        <w:rPr>
          <w:rFonts w:asciiTheme="minorBidi" w:eastAsia="Calibri" w:hAnsiTheme="minorBidi" w:cstheme="minorBidi"/>
          <w:b/>
          <w:bCs/>
          <w:sz w:val="22"/>
          <w:szCs w:val="22"/>
          <w:lang w:val="es-ES"/>
        </w:rPr>
        <w:t> </w:t>
      </w:r>
      <w:r w:rsidRPr="00303A2B">
        <w:rPr>
          <w:rFonts w:asciiTheme="minorBidi" w:eastAsia="Calibri" w:hAnsiTheme="minorBidi" w:cstheme="minorBidi"/>
          <w:b/>
          <w:bCs/>
          <w:sz w:val="22"/>
          <w:szCs w:val="22"/>
          <w:lang w:val="es-ES"/>
        </w:rPr>
        <w:t>COI) y de los Estados miembros del Consejo Ejecutivo</w:t>
      </w:r>
    </w:p>
    <w:p w14:paraId="7777C6E9" w14:textId="3283F0E0"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Recuerda</w:t>
      </w:r>
      <w:r w:rsidRPr="00303A2B">
        <w:rPr>
          <w:rFonts w:asciiTheme="minorBidi" w:hAnsiTheme="minorBidi" w:cstheme="minorBidi"/>
          <w:sz w:val="22"/>
          <w:szCs w:val="22"/>
          <w:lang w:val="es-ES"/>
        </w:rPr>
        <w:t xml:space="preserve"> que la Asamblea de la COI, en su 32ª reunión, mediante su resolución A-32/4, aprobó el Reglamento actualizado de la COI, publicado ahora como documento IOC/INF-1166 Rev., e invitó al Secretario Ejecutivo de la COI a </w:t>
      </w:r>
      <w:r w:rsidR="00D7260C" w:rsidRPr="00303A2B">
        <w:rPr>
          <w:rFonts w:asciiTheme="minorBidi" w:hAnsiTheme="minorBidi" w:cstheme="minorBidi"/>
          <w:sz w:val="22"/>
          <w:szCs w:val="22"/>
          <w:lang w:val="es-ES"/>
        </w:rPr>
        <w:t>“</w:t>
      </w:r>
      <w:r w:rsidRPr="00303A2B">
        <w:rPr>
          <w:rFonts w:asciiTheme="minorBidi" w:hAnsiTheme="minorBidi" w:cstheme="minorBidi"/>
          <w:sz w:val="22"/>
          <w:szCs w:val="22"/>
          <w:lang w:val="es-ES"/>
        </w:rPr>
        <w:t>preparar directrices para apoyar la preparación y la participación de los Estados Miembros en las elecciones, de conformidad con los Estatutos y el Reglamento de la COI, y a considerar la posibilidad de celebrar una sesión de información antes de la votación</w:t>
      </w:r>
      <w:r w:rsidR="00D7260C" w:rsidRPr="00303A2B">
        <w:rPr>
          <w:rFonts w:asciiTheme="minorBidi" w:hAnsiTheme="minorBidi" w:cstheme="minorBidi"/>
          <w:sz w:val="22"/>
          <w:szCs w:val="22"/>
          <w:lang w:val="es-ES"/>
        </w:rPr>
        <w:t>”</w:t>
      </w:r>
      <w:r w:rsidRPr="00303A2B">
        <w:rPr>
          <w:rFonts w:asciiTheme="minorBidi" w:hAnsiTheme="minorBidi" w:cstheme="minorBidi"/>
          <w:sz w:val="22"/>
          <w:szCs w:val="22"/>
          <w:lang w:val="es-ES"/>
        </w:rPr>
        <w:t xml:space="preserve">; </w:t>
      </w:r>
    </w:p>
    <w:p w14:paraId="4916D5C6" w14:textId="77777777" w:rsidR="0050473A"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Toma nota</w:t>
      </w:r>
      <w:r w:rsidRPr="00303A2B">
        <w:rPr>
          <w:rFonts w:asciiTheme="minorBidi" w:hAnsiTheme="minorBidi" w:cstheme="minorBidi"/>
          <w:sz w:val="22"/>
          <w:szCs w:val="22"/>
          <w:lang w:val="es-ES"/>
        </w:rPr>
        <w:t xml:space="preserve"> de la información contenida en el documento IOC/EC-57/5.3.Doc(1), que tiene por objeto destacar las especificidades de las elecciones de la COI con fines de referencia para los Estados Miembros, mientras que la información completa figura en los Estatutos y el Reglamento de la COI, que constituyen el marco reglamentario de la Comisión; </w:t>
      </w:r>
    </w:p>
    <w:p w14:paraId="5DBE30EE" w14:textId="0C13F3F6" w:rsidR="0035070B" w:rsidRPr="00303A2B" w:rsidRDefault="0050473A" w:rsidP="00AA28D3">
      <w:pPr>
        <w:pStyle w:val="ListParagraph"/>
        <w:numPr>
          <w:ilvl w:val="0"/>
          <w:numId w:val="11"/>
        </w:numPr>
        <w:tabs>
          <w:tab w:val="clear" w:pos="709"/>
          <w:tab w:val="left" w:pos="567"/>
        </w:tabs>
        <w:snapToGrid w:val="0"/>
        <w:spacing w:after="240"/>
        <w:ind w:left="0" w:hanging="709"/>
        <w:contextualSpacing w:val="0"/>
        <w:rPr>
          <w:rFonts w:asciiTheme="minorBidi" w:eastAsia="Calibri" w:hAnsiTheme="minorBidi" w:cstheme="minorBidi"/>
          <w:sz w:val="22"/>
          <w:szCs w:val="22"/>
          <w:lang w:val="es-ES"/>
        </w:rPr>
      </w:pPr>
      <w:r w:rsidRPr="00303A2B">
        <w:rPr>
          <w:rFonts w:asciiTheme="minorBidi" w:hAnsiTheme="minorBidi" w:cstheme="minorBidi"/>
          <w:b/>
          <w:bCs/>
          <w:sz w:val="22"/>
          <w:szCs w:val="22"/>
          <w:lang w:val="es-ES"/>
        </w:rPr>
        <w:t>Acoge con beneplácito</w:t>
      </w:r>
      <w:r w:rsidRPr="00303A2B">
        <w:rPr>
          <w:rFonts w:asciiTheme="minorBidi" w:hAnsiTheme="minorBidi" w:cstheme="minorBidi"/>
          <w:sz w:val="22"/>
          <w:szCs w:val="22"/>
          <w:lang w:val="es-ES"/>
        </w:rPr>
        <w:t xml:space="preserve"> la confirmación del Secretario Ejecutivo de la COI de que se organizará una sesión de información antes de la 33ª reunión de la Asamblea del COI para facilitar los preparativos de los Estados Miembros.</w:t>
      </w:r>
    </w:p>
    <w:sectPr w:rsidR="0035070B" w:rsidRPr="00303A2B" w:rsidSect="00171EE4">
      <w:headerReference w:type="even" r:id="rId7"/>
      <w:headerReference w:type="default" r:id="rId8"/>
      <w:pgSz w:w="12240" w:h="15840" w:code="1"/>
      <w:pgMar w:top="1440" w:right="1440" w:bottom="1440" w:left="1440"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0247A" w14:textId="77777777" w:rsidR="00750280" w:rsidRDefault="00750280" w:rsidP="00CF5319">
      <w:r>
        <w:separator/>
      </w:r>
    </w:p>
  </w:endnote>
  <w:endnote w:type="continuationSeparator" w:id="0">
    <w:p w14:paraId="7F54F61E" w14:textId="77777777" w:rsidR="00750280" w:rsidRDefault="00750280" w:rsidP="00CF5319">
      <w:r>
        <w:continuationSeparator/>
      </w:r>
    </w:p>
  </w:endnote>
  <w:endnote w:type="continuationNotice" w:id="1">
    <w:p w14:paraId="433C87D5" w14:textId="77777777" w:rsidR="00750280" w:rsidRDefault="00750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4BE43" w14:textId="77777777" w:rsidR="00750280" w:rsidRDefault="00750280" w:rsidP="00CF5319">
      <w:r>
        <w:separator/>
      </w:r>
    </w:p>
  </w:footnote>
  <w:footnote w:type="continuationSeparator" w:id="0">
    <w:p w14:paraId="1B51C0CA" w14:textId="77777777" w:rsidR="00750280" w:rsidRDefault="00750280" w:rsidP="00CF5319">
      <w:r>
        <w:continuationSeparator/>
      </w:r>
    </w:p>
  </w:footnote>
  <w:footnote w:type="continuationNotice" w:id="1">
    <w:p w14:paraId="3797E21B" w14:textId="77777777" w:rsidR="00750280" w:rsidRDefault="00750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1B43B" w14:textId="10B286AD" w:rsidR="00B95D28" w:rsidRPr="00E340C5" w:rsidRDefault="00B95D28" w:rsidP="00E340C5">
    <w:pPr>
      <w:pStyle w:val="Header"/>
      <w:rPr>
        <w:rFonts w:asciiTheme="minorBidi" w:hAnsiTheme="minorBidi" w:cstheme="minorBidi"/>
        <w:sz w:val="22"/>
        <w:szCs w:val="22"/>
        <w:lang w:val="es-ES"/>
      </w:rPr>
    </w:pPr>
    <w:r w:rsidRPr="00E340C5">
      <w:rPr>
        <w:rFonts w:asciiTheme="minorBidi" w:hAnsiTheme="minorBidi" w:cstheme="minorBidi"/>
        <w:bCs/>
        <w:sz w:val="22"/>
        <w:szCs w:val="22"/>
        <w:lang w:val="es-ES"/>
      </w:rPr>
      <w:t>EC-57/DR.[5.4]</w:t>
    </w:r>
    <w:r w:rsidR="00E340C5" w:rsidRPr="00E340C5">
      <w:rPr>
        <w:rFonts w:asciiTheme="minorBidi" w:hAnsiTheme="minorBidi" w:cstheme="minorBidi"/>
        <w:bCs/>
        <w:sz w:val="22"/>
        <w:szCs w:val="22"/>
        <w:lang w:val="es-ES"/>
      </w:rPr>
      <w:t xml:space="preserve"> – </w:t>
    </w:r>
    <w:r w:rsidRPr="00E340C5">
      <w:rPr>
        <w:rFonts w:asciiTheme="minorBidi" w:hAnsiTheme="minorBidi" w:cstheme="minorBidi"/>
        <w:sz w:val="22"/>
        <w:szCs w:val="22"/>
        <w:lang w:val="es-ES"/>
      </w:rPr>
      <w:t>p</w:t>
    </w:r>
    <w:r w:rsidR="00E340C5" w:rsidRPr="00E340C5">
      <w:rPr>
        <w:rFonts w:asciiTheme="minorBidi" w:hAnsiTheme="minorBidi" w:cstheme="minorBidi"/>
        <w:sz w:val="22"/>
        <w:szCs w:val="22"/>
        <w:lang w:val="es-ES"/>
      </w:rPr>
      <w:t>ág.</w:t>
    </w:r>
    <w:r w:rsidRPr="00E340C5">
      <w:rPr>
        <w:rFonts w:asciiTheme="minorBidi" w:hAnsiTheme="minorBidi" w:cstheme="minorBidi"/>
        <w:sz w:val="22"/>
        <w:szCs w:val="22"/>
        <w:lang w:val="es-ES"/>
      </w:rPr>
      <w:t xml:space="preserve"> </w:t>
    </w:r>
    <w:r w:rsidRPr="00E340C5">
      <w:rPr>
        <w:rFonts w:asciiTheme="minorBidi" w:hAnsiTheme="minorBidi" w:cstheme="minorBidi"/>
        <w:sz w:val="22"/>
        <w:szCs w:val="22"/>
        <w:lang w:val="es-ES"/>
      </w:rPr>
      <w:fldChar w:fldCharType="begin"/>
    </w:r>
    <w:r w:rsidRPr="00E340C5">
      <w:rPr>
        <w:rFonts w:asciiTheme="minorBidi" w:hAnsiTheme="minorBidi" w:cstheme="minorBidi"/>
        <w:sz w:val="22"/>
        <w:szCs w:val="22"/>
        <w:lang w:val="es-ES"/>
      </w:rPr>
      <w:instrText xml:space="preserve"> PAGE   \* MERGEFORMAT </w:instrText>
    </w:r>
    <w:r w:rsidRPr="00E340C5">
      <w:rPr>
        <w:rFonts w:asciiTheme="minorBidi" w:hAnsiTheme="minorBidi" w:cstheme="minorBidi"/>
        <w:sz w:val="22"/>
        <w:szCs w:val="22"/>
        <w:lang w:val="es-ES"/>
      </w:rPr>
      <w:fldChar w:fldCharType="separate"/>
    </w:r>
    <w:r w:rsidRPr="00E340C5">
      <w:rPr>
        <w:rFonts w:asciiTheme="minorBidi" w:hAnsiTheme="minorBidi" w:cstheme="minorBidi"/>
        <w:sz w:val="22"/>
        <w:szCs w:val="22"/>
        <w:lang w:val="es-ES"/>
      </w:rPr>
      <w:t>2</w:t>
    </w:r>
    <w:r w:rsidRPr="00E340C5">
      <w:rPr>
        <w:rFonts w:asciiTheme="minorBidi" w:hAnsiTheme="minorBidi" w:cstheme="minorBidi"/>
        <w:noProof/>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D4620" w14:textId="6F447B66" w:rsidR="00B95D28" w:rsidRPr="00E340C5" w:rsidRDefault="00B95D28" w:rsidP="00AB35D9">
    <w:pPr>
      <w:pStyle w:val="Header"/>
      <w:tabs>
        <w:tab w:val="clear" w:pos="4513"/>
        <w:tab w:val="clear" w:pos="9026"/>
      </w:tabs>
      <w:ind w:left="6971"/>
      <w:rPr>
        <w:lang w:val="es-ES"/>
      </w:rPr>
    </w:pPr>
    <w:r w:rsidRPr="00E340C5">
      <w:rPr>
        <w:rFonts w:asciiTheme="minorBidi" w:hAnsiTheme="minorBidi" w:cstheme="minorBidi"/>
        <w:bCs/>
        <w:sz w:val="22"/>
        <w:szCs w:val="22"/>
        <w:lang w:val="es-ES"/>
      </w:rPr>
      <w:t>EC-57/DR.[5.4]</w:t>
    </w:r>
    <w:r w:rsidR="00E340C5" w:rsidRPr="00E340C5">
      <w:rPr>
        <w:rFonts w:asciiTheme="minorBidi" w:hAnsiTheme="minorBidi" w:cstheme="minorBidi"/>
        <w:bCs/>
        <w:sz w:val="22"/>
        <w:szCs w:val="22"/>
        <w:lang w:val="es-ES"/>
      </w:rPr>
      <w:t xml:space="preserve"> – pág.</w:t>
    </w:r>
    <w:r w:rsidRPr="00E340C5">
      <w:rPr>
        <w:rFonts w:asciiTheme="minorBidi" w:hAnsiTheme="minorBidi" w:cstheme="minorBidi"/>
        <w:sz w:val="22"/>
        <w:szCs w:val="22"/>
        <w:lang w:val="es-ES"/>
      </w:rPr>
      <w:t xml:space="preserve"> </w:t>
    </w:r>
    <w:r w:rsidRPr="00E340C5">
      <w:rPr>
        <w:rFonts w:asciiTheme="minorBidi" w:hAnsiTheme="minorBidi" w:cstheme="minorBidi"/>
        <w:sz w:val="22"/>
        <w:szCs w:val="22"/>
        <w:lang w:val="es-ES"/>
      </w:rPr>
      <w:fldChar w:fldCharType="begin"/>
    </w:r>
    <w:r w:rsidRPr="00E340C5">
      <w:rPr>
        <w:rFonts w:asciiTheme="minorBidi" w:hAnsiTheme="minorBidi" w:cstheme="minorBidi"/>
        <w:sz w:val="22"/>
        <w:szCs w:val="22"/>
        <w:lang w:val="es-ES"/>
      </w:rPr>
      <w:instrText xml:space="preserve"> PAGE   \* MERGEFORMAT </w:instrText>
    </w:r>
    <w:r w:rsidRPr="00E340C5">
      <w:rPr>
        <w:rFonts w:asciiTheme="minorBidi" w:hAnsiTheme="minorBidi" w:cstheme="minorBidi"/>
        <w:sz w:val="22"/>
        <w:szCs w:val="22"/>
        <w:lang w:val="es-ES"/>
      </w:rPr>
      <w:fldChar w:fldCharType="separate"/>
    </w:r>
    <w:r w:rsidRPr="00E340C5">
      <w:rPr>
        <w:rFonts w:asciiTheme="minorBidi" w:hAnsiTheme="minorBidi" w:cstheme="minorBidi"/>
        <w:sz w:val="22"/>
        <w:szCs w:val="22"/>
        <w:lang w:val="es-ES"/>
      </w:rPr>
      <w:t>3</w:t>
    </w:r>
    <w:r w:rsidRPr="00E340C5">
      <w:rPr>
        <w:rFonts w:asciiTheme="minorBidi" w:hAnsiTheme="minorBidi" w:cstheme="minorBidi"/>
        <w:noProof/>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D3688"/>
    <w:multiLevelType w:val="hybridMultilevel"/>
    <w:tmpl w:val="9552FFF6"/>
    <w:lvl w:ilvl="0" w:tplc="FFFFFFFF">
      <w:start w:val="1"/>
      <w:numFmt w:val="lowerRoman"/>
      <w:lvlText w:val="(%1)"/>
      <w:lvlJc w:val="left"/>
      <w:pPr>
        <w:ind w:left="1080" w:hanging="72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03176E"/>
    <w:multiLevelType w:val="hybridMultilevel"/>
    <w:tmpl w:val="6C4650FE"/>
    <w:lvl w:ilvl="0" w:tplc="06D43548">
      <w:start w:val="27"/>
      <w:numFmt w:val="decimal"/>
      <w:lvlText w:val="%1."/>
      <w:lvlJc w:val="left"/>
      <w:pPr>
        <w:ind w:left="-207" w:hanging="360"/>
      </w:pPr>
      <w:rPr>
        <w:rFonts w:ascii="Times New Roman" w:hAnsi="Times New Roman" w:cs="Times New Roman" w:hint="default"/>
        <w:b/>
        <w:color w:val="auto"/>
        <w:sz w:val="24"/>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0">
    <w:nsid w:val="2D1D5D18"/>
    <w:multiLevelType w:val="hybridMultilevel"/>
    <w:tmpl w:val="D0329826"/>
    <w:lvl w:ilvl="0" w:tplc="FFFFFFFF">
      <w:start w:val="1"/>
      <w:numFmt w:val="lowerRoman"/>
      <w:lvlText w:val="(%1)"/>
      <w:lvlJc w:val="left"/>
      <w:pPr>
        <w:ind w:left="720" w:hanging="360"/>
      </w:pPr>
      <w:rPr>
        <w:rFonts w:hint="default"/>
      </w:rPr>
    </w:lvl>
    <w:lvl w:ilvl="1" w:tplc="A9BC0BD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541017"/>
    <w:multiLevelType w:val="hybridMultilevel"/>
    <w:tmpl w:val="EEFA7952"/>
    <w:lvl w:ilvl="0" w:tplc="665E9F4E">
      <w:start w:val="1"/>
      <w:numFmt w:val="decimal"/>
      <w:lvlText w:val="%1."/>
      <w:lvlJc w:val="left"/>
      <w:pPr>
        <w:ind w:left="-207" w:hanging="360"/>
      </w:pPr>
      <w:rPr>
        <w:rFonts w:eastAsia="Times New Roman" w:hint="default"/>
        <w:b w:val="0"/>
        <w:bCs/>
        <w:i/>
        <w:color w:val="000000"/>
      </w:rPr>
    </w:lvl>
    <w:lvl w:ilvl="1" w:tplc="A9BC0BD8">
      <w:start w:val="1"/>
      <w:numFmt w:val="lowerRoman"/>
      <w:lvlText w:val="%2)"/>
      <w:lvlJc w:val="left"/>
      <w:pPr>
        <w:ind w:left="1188" w:hanging="1035"/>
      </w:pPr>
      <w:rPr>
        <w:rFonts w:hint="default"/>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15:restartNumberingAfterBreak="0">
    <w:nsid w:val="3BC53C78"/>
    <w:multiLevelType w:val="hybridMultilevel"/>
    <w:tmpl w:val="A64C3718"/>
    <w:lvl w:ilvl="0" w:tplc="C568B7B2">
      <w:start w:val="1"/>
      <w:numFmt w:val="lowerRoman"/>
      <w:lvlText w:val="%1)"/>
      <w:lvlJc w:val="left"/>
      <w:pPr>
        <w:ind w:left="1080" w:hanging="720"/>
      </w:pPr>
      <w:rPr>
        <w:rFonts w:eastAsiaTheme="minorHAnsi" w:hint="default"/>
        <w:b w:val="0"/>
        <w:bCs w:val="0"/>
        <w:i w:val="0"/>
        <w:caps w:val="0"/>
        <w:strike w:val="0"/>
        <w:dstrike w:val="0"/>
        <w:vanish w:val="0"/>
        <w:w w:val="99"/>
        <w:sz w:val="22"/>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653688"/>
    <w:multiLevelType w:val="hybridMultilevel"/>
    <w:tmpl w:val="8DA461F4"/>
    <w:lvl w:ilvl="0" w:tplc="FFFFFFFF">
      <w:start w:val="1"/>
      <w:numFmt w:val="lowerRoman"/>
      <w:lvlText w:val="(%1)"/>
      <w:lvlJc w:val="left"/>
      <w:pPr>
        <w:ind w:left="720" w:hanging="360"/>
      </w:pPr>
      <w:rPr>
        <w:rFonts w:hint="default"/>
      </w:rPr>
    </w:lvl>
    <w:lvl w:ilvl="1" w:tplc="88F488E2">
      <w:start w:val="1"/>
      <w:numFmt w:val="lowerRoman"/>
      <w:lvlText w:val="(%2)"/>
      <w:lvlJc w:val="left"/>
      <w:pPr>
        <w:ind w:left="92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7BB525F8"/>
    <w:multiLevelType w:val="hybridMultilevel"/>
    <w:tmpl w:val="AF2840C4"/>
    <w:lvl w:ilvl="0" w:tplc="88F488E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755613"/>
    <w:multiLevelType w:val="hybridMultilevel"/>
    <w:tmpl w:val="62C6CB28"/>
    <w:lvl w:ilvl="0" w:tplc="C568B7B2">
      <w:start w:val="1"/>
      <w:numFmt w:val="lowerRoman"/>
      <w:lvlText w:val="%1)"/>
      <w:lvlJc w:val="left"/>
      <w:pPr>
        <w:ind w:left="1287" w:hanging="720"/>
      </w:pPr>
      <w:rPr>
        <w:rFonts w:eastAsiaTheme="minorHAnsi" w:hint="default"/>
        <w:b w:val="0"/>
        <w:bCs w:val="0"/>
        <w:i w:val="0"/>
        <w:caps w:val="0"/>
        <w:strike w:val="0"/>
        <w:dstrike w:val="0"/>
        <w:vanish w:val="0"/>
        <w:w w:val="99"/>
        <w:sz w:val="22"/>
        <w:szCs w:val="20"/>
        <w:vertAlign w:val="baseli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779032969">
    <w:abstractNumId w:val="14"/>
  </w:num>
  <w:num w:numId="2" w16cid:durableId="1084686854">
    <w:abstractNumId w:val="15"/>
  </w:num>
  <w:num w:numId="3" w16cid:durableId="1433893519">
    <w:abstractNumId w:val="7"/>
  </w:num>
  <w:num w:numId="4" w16cid:durableId="486897565">
    <w:abstractNumId w:val="9"/>
  </w:num>
  <w:num w:numId="5" w16cid:durableId="574628637">
    <w:abstractNumId w:val="12"/>
  </w:num>
  <w:num w:numId="6" w16cid:durableId="1190025939">
    <w:abstractNumId w:val="8"/>
  </w:num>
  <w:num w:numId="7" w16cid:durableId="397672789">
    <w:abstractNumId w:val="10"/>
  </w:num>
  <w:num w:numId="8" w16cid:durableId="934099398">
    <w:abstractNumId w:val="2"/>
  </w:num>
  <w:num w:numId="9" w16cid:durableId="829759316">
    <w:abstractNumId w:val="1"/>
  </w:num>
  <w:num w:numId="10" w16cid:durableId="1219129233">
    <w:abstractNumId w:val="6"/>
  </w:num>
  <w:num w:numId="11" w16cid:durableId="933979956">
    <w:abstractNumId w:val="5"/>
  </w:num>
  <w:num w:numId="12" w16cid:durableId="161241800">
    <w:abstractNumId w:val="13"/>
  </w:num>
  <w:num w:numId="13" w16cid:durableId="560946474">
    <w:abstractNumId w:val="4"/>
  </w:num>
  <w:num w:numId="14" w16cid:durableId="1161964731">
    <w:abstractNumId w:val="11"/>
  </w:num>
  <w:num w:numId="15" w16cid:durableId="866911339">
    <w:abstractNumId w:val="0"/>
  </w:num>
  <w:num w:numId="16" w16cid:durableId="1748310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E2"/>
    <w:rsid w:val="000071A0"/>
    <w:rsid w:val="0002172A"/>
    <w:rsid w:val="00027405"/>
    <w:rsid w:val="00027819"/>
    <w:rsid w:val="000412F9"/>
    <w:rsid w:val="00061003"/>
    <w:rsid w:val="00087A0E"/>
    <w:rsid w:val="00097110"/>
    <w:rsid w:val="000C4334"/>
    <w:rsid w:val="000C520D"/>
    <w:rsid w:val="000E725F"/>
    <w:rsid w:val="000F6486"/>
    <w:rsid w:val="000F6CD6"/>
    <w:rsid w:val="00106412"/>
    <w:rsid w:val="001266CF"/>
    <w:rsid w:val="00134C2E"/>
    <w:rsid w:val="001522B6"/>
    <w:rsid w:val="00166D8A"/>
    <w:rsid w:val="00170E46"/>
    <w:rsid w:val="00171EE4"/>
    <w:rsid w:val="00172AD7"/>
    <w:rsid w:val="00177AFB"/>
    <w:rsid w:val="00191633"/>
    <w:rsid w:val="001C3F03"/>
    <w:rsid w:val="00200416"/>
    <w:rsid w:val="00265F84"/>
    <w:rsid w:val="002755A2"/>
    <w:rsid w:val="002945A0"/>
    <w:rsid w:val="002A7ED5"/>
    <w:rsid w:val="002C4E2D"/>
    <w:rsid w:val="002F1CD6"/>
    <w:rsid w:val="00303A2B"/>
    <w:rsid w:val="00311C11"/>
    <w:rsid w:val="00314932"/>
    <w:rsid w:val="003242AF"/>
    <w:rsid w:val="00327E9C"/>
    <w:rsid w:val="00335223"/>
    <w:rsid w:val="0035070B"/>
    <w:rsid w:val="00357C97"/>
    <w:rsid w:val="003B3730"/>
    <w:rsid w:val="003C52E6"/>
    <w:rsid w:val="003D56BF"/>
    <w:rsid w:val="003E5498"/>
    <w:rsid w:val="003F1C25"/>
    <w:rsid w:val="00420422"/>
    <w:rsid w:val="00421575"/>
    <w:rsid w:val="004215FB"/>
    <w:rsid w:val="00426CAF"/>
    <w:rsid w:val="0044331B"/>
    <w:rsid w:val="00445F6D"/>
    <w:rsid w:val="00450D2C"/>
    <w:rsid w:val="0048122E"/>
    <w:rsid w:val="004961BE"/>
    <w:rsid w:val="0049741C"/>
    <w:rsid w:val="004B5314"/>
    <w:rsid w:val="004C136C"/>
    <w:rsid w:val="004D3B28"/>
    <w:rsid w:val="004E3BD7"/>
    <w:rsid w:val="004F2008"/>
    <w:rsid w:val="0050473A"/>
    <w:rsid w:val="00526D62"/>
    <w:rsid w:val="00571187"/>
    <w:rsid w:val="005E783B"/>
    <w:rsid w:val="005F0827"/>
    <w:rsid w:val="005F756A"/>
    <w:rsid w:val="00632B65"/>
    <w:rsid w:val="00652E6B"/>
    <w:rsid w:val="006576F0"/>
    <w:rsid w:val="00661614"/>
    <w:rsid w:val="0069326D"/>
    <w:rsid w:val="00693578"/>
    <w:rsid w:val="006C20E0"/>
    <w:rsid w:val="006C6238"/>
    <w:rsid w:val="007344CF"/>
    <w:rsid w:val="00750280"/>
    <w:rsid w:val="0075046D"/>
    <w:rsid w:val="0075709F"/>
    <w:rsid w:val="00760914"/>
    <w:rsid w:val="0078106F"/>
    <w:rsid w:val="00791289"/>
    <w:rsid w:val="007A02FF"/>
    <w:rsid w:val="007B0727"/>
    <w:rsid w:val="008025C1"/>
    <w:rsid w:val="0081295C"/>
    <w:rsid w:val="008164B1"/>
    <w:rsid w:val="00845BF0"/>
    <w:rsid w:val="00876D23"/>
    <w:rsid w:val="00885241"/>
    <w:rsid w:val="008929A9"/>
    <w:rsid w:val="008B03CA"/>
    <w:rsid w:val="008B7509"/>
    <w:rsid w:val="008B7C09"/>
    <w:rsid w:val="008C1B50"/>
    <w:rsid w:val="008D328A"/>
    <w:rsid w:val="008E39A1"/>
    <w:rsid w:val="008E72BA"/>
    <w:rsid w:val="008F2F05"/>
    <w:rsid w:val="00935EA2"/>
    <w:rsid w:val="00955B51"/>
    <w:rsid w:val="009A2AA7"/>
    <w:rsid w:val="009C19B0"/>
    <w:rsid w:val="009C4896"/>
    <w:rsid w:val="009E3D9C"/>
    <w:rsid w:val="009F6AB5"/>
    <w:rsid w:val="00A27396"/>
    <w:rsid w:val="00A31CB9"/>
    <w:rsid w:val="00A372CB"/>
    <w:rsid w:val="00A40E6D"/>
    <w:rsid w:val="00A47FA4"/>
    <w:rsid w:val="00A67420"/>
    <w:rsid w:val="00A745FB"/>
    <w:rsid w:val="00A9783E"/>
    <w:rsid w:val="00AA28D3"/>
    <w:rsid w:val="00AB35D9"/>
    <w:rsid w:val="00AD0005"/>
    <w:rsid w:val="00AF0FED"/>
    <w:rsid w:val="00AF4ABE"/>
    <w:rsid w:val="00B03752"/>
    <w:rsid w:val="00B06A6B"/>
    <w:rsid w:val="00B07BFF"/>
    <w:rsid w:val="00B11032"/>
    <w:rsid w:val="00B12944"/>
    <w:rsid w:val="00B15F6D"/>
    <w:rsid w:val="00B26C5C"/>
    <w:rsid w:val="00B67AD5"/>
    <w:rsid w:val="00B85E5F"/>
    <w:rsid w:val="00B93F92"/>
    <w:rsid w:val="00B95D28"/>
    <w:rsid w:val="00BA2175"/>
    <w:rsid w:val="00BA6030"/>
    <w:rsid w:val="00BA638E"/>
    <w:rsid w:val="00BA73A5"/>
    <w:rsid w:val="00BE4E58"/>
    <w:rsid w:val="00BE6117"/>
    <w:rsid w:val="00BE62DD"/>
    <w:rsid w:val="00BF2FF1"/>
    <w:rsid w:val="00C14730"/>
    <w:rsid w:val="00C202FE"/>
    <w:rsid w:val="00C87E5E"/>
    <w:rsid w:val="00CA3D01"/>
    <w:rsid w:val="00CC67B5"/>
    <w:rsid w:val="00CC7089"/>
    <w:rsid w:val="00CF5319"/>
    <w:rsid w:val="00CF5E8F"/>
    <w:rsid w:val="00D00699"/>
    <w:rsid w:val="00D218EB"/>
    <w:rsid w:val="00D33B67"/>
    <w:rsid w:val="00D7260C"/>
    <w:rsid w:val="00D820D7"/>
    <w:rsid w:val="00D866ED"/>
    <w:rsid w:val="00DC33BB"/>
    <w:rsid w:val="00DC62B7"/>
    <w:rsid w:val="00DC6652"/>
    <w:rsid w:val="00DD26BE"/>
    <w:rsid w:val="00DE00B2"/>
    <w:rsid w:val="00DE0815"/>
    <w:rsid w:val="00DF3445"/>
    <w:rsid w:val="00E04742"/>
    <w:rsid w:val="00E21928"/>
    <w:rsid w:val="00E30158"/>
    <w:rsid w:val="00E340C5"/>
    <w:rsid w:val="00E50DE1"/>
    <w:rsid w:val="00E57C6C"/>
    <w:rsid w:val="00E62FC3"/>
    <w:rsid w:val="00E643AE"/>
    <w:rsid w:val="00E65B7E"/>
    <w:rsid w:val="00E7271E"/>
    <w:rsid w:val="00E747F3"/>
    <w:rsid w:val="00E87FEF"/>
    <w:rsid w:val="00EB4868"/>
    <w:rsid w:val="00EB4C0F"/>
    <w:rsid w:val="00EC75B3"/>
    <w:rsid w:val="00EE3DE2"/>
    <w:rsid w:val="00EF7F0A"/>
    <w:rsid w:val="00F00231"/>
    <w:rsid w:val="00F31487"/>
    <w:rsid w:val="00F37E20"/>
    <w:rsid w:val="00F573B3"/>
    <w:rsid w:val="00F97C80"/>
    <w:rsid w:val="00FA6345"/>
    <w:rsid w:val="00FB541B"/>
    <w:rsid w:val="00FC5CC5"/>
    <w:rsid w:val="00FD25BA"/>
    <w:rsid w:val="00FF2D7B"/>
    <w:rsid w:val="00FF30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196C0"/>
  <w15:chartTrackingRefBased/>
  <w15:docId w15:val="{61F3E1C0-DF80-4920-8CA4-6FA1C143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E2"/>
    <w:pPr>
      <w:tabs>
        <w:tab w:val="left" w:pos="709"/>
      </w:tabs>
      <w:spacing w:after="0" w:line="240" w:lineRule="auto"/>
      <w:jc w:val="both"/>
    </w:pPr>
    <w:rPr>
      <w:rFonts w:ascii="Times New Roman" w:eastAsia="Times New Roman" w:hAnsi="Times New Roman" w:cs="Times New Roman"/>
      <w:kern w:val="0"/>
      <w:szCs w:val="20"/>
      <w:lang w:val="en-GB" w:eastAsia="en-US"/>
      <w14:ligatures w14:val="none"/>
    </w:rPr>
  </w:style>
  <w:style w:type="paragraph" w:styleId="Heading1">
    <w:name w:val="heading 1"/>
    <w:basedOn w:val="Normal"/>
    <w:next w:val="Normal"/>
    <w:link w:val="Heading1Char"/>
    <w:qFormat/>
    <w:rsid w:val="00EE3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E2"/>
    <w:rPr>
      <w:rFonts w:eastAsiaTheme="majorEastAsia" w:cstheme="majorBidi"/>
      <w:color w:val="272727" w:themeColor="text1" w:themeTint="D8"/>
    </w:rPr>
  </w:style>
  <w:style w:type="paragraph" w:styleId="Title">
    <w:name w:val="Title"/>
    <w:basedOn w:val="Normal"/>
    <w:next w:val="Normal"/>
    <w:link w:val="TitleChar"/>
    <w:uiPriority w:val="10"/>
    <w:qFormat/>
    <w:rsid w:val="00EE3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E2"/>
    <w:pPr>
      <w:spacing w:before="160"/>
      <w:jc w:val="center"/>
    </w:pPr>
    <w:rPr>
      <w:i/>
      <w:iCs/>
      <w:color w:val="404040" w:themeColor="text1" w:themeTint="BF"/>
    </w:rPr>
  </w:style>
  <w:style w:type="character" w:customStyle="1" w:styleId="QuoteChar">
    <w:name w:val="Quote Char"/>
    <w:basedOn w:val="DefaultParagraphFont"/>
    <w:link w:val="Quote"/>
    <w:uiPriority w:val="29"/>
    <w:rsid w:val="00EE3DE2"/>
    <w:rPr>
      <w:i/>
      <w:iCs/>
      <w:color w:val="404040" w:themeColor="text1" w:themeTint="BF"/>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EE3DE2"/>
    <w:pPr>
      <w:ind w:left="720"/>
      <w:contextualSpacing/>
    </w:pPr>
  </w:style>
  <w:style w:type="character" w:styleId="IntenseEmphasis">
    <w:name w:val="Intense Emphasis"/>
    <w:basedOn w:val="DefaultParagraphFont"/>
    <w:uiPriority w:val="21"/>
    <w:qFormat/>
    <w:rsid w:val="00EE3DE2"/>
    <w:rPr>
      <w:i/>
      <w:iCs/>
      <w:color w:val="0F4761" w:themeColor="accent1" w:themeShade="BF"/>
    </w:rPr>
  </w:style>
  <w:style w:type="paragraph" w:styleId="IntenseQuote">
    <w:name w:val="Intense Quote"/>
    <w:basedOn w:val="Normal"/>
    <w:next w:val="Normal"/>
    <w:link w:val="IntenseQuoteChar"/>
    <w:uiPriority w:val="30"/>
    <w:qFormat/>
    <w:rsid w:val="00EE3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E2"/>
    <w:rPr>
      <w:i/>
      <w:iCs/>
      <w:color w:val="0F4761" w:themeColor="accent1" w:themeShade="BF"/>
    </w:rPr>
  </w:style>
  <w:style w:type="character" w:styleId="IntenseReference">
    <w:name w:val="Intense Reference"/>
    <w:basedOn w:val="DefaultParagraphFont"/>
    <w:uiPriority w:val="32"/>
    <w:qFormat/>
    <w:rsid w:val="00EE3DE2"/>
    <w:rPr>
      <w:b/>
      <w:bCs/>
      <w:smallCaps/>
      <w:color w:val="0F4761" w:themeColor="accent1" w:themeShade="BF"/>
      <w:spacing w:val="5"/>
    </w:rPr>
  </w:style>
  <w:style w:type="paragraph" w:customStyle="1" w:styleId="b">
    <w:name w:val="(b)"/>
    <w:basedOn w:val="Normal"/>
    <w:rsid w:val="00EE3DE2"/>
    <w:pPr>
      <w:tabs>
        <w:tab w:val="clear" w:pos="709"/>
        <w:tab w:val="left" w:pos="-737"/>
        <w:tab w:val="left" w:pos="1134"/>
      </w:tabs>
      <w:snapToGrid w:val="0"/>
      <w:spacing w:after="240"/>
      <w:ind w:left="1134" w:hanging="567"/>
    </w:pPr>
    <w:rPr>
      <w:snapToGrid w:val="0"/>
      <w:szCs w:val="24"/>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EE3DE2"/>
  </w:style>
  <w:style w:type="paragraph" w:styleId="Header">
    <w:name w:val="header"/>
    <w:basedOn w:val="Normal"/>
    <w:link w:val="HeaderChar"/>
    <w:uiPriority w:val="99"/>
    <w:unhideWhenUsed/>
    <w:rsid w:val="00CF5319"/>
    <w:pPr>
      <w:tabs>
        <w:tab w:val="clear" w:pos="709"/>
        <w:tab w:val="center" w:pos="4513"/>
        <w:tab w:val="right" w:pos="9026"/>
      </w:tabs>
    </w:pPr>
  </w:style>
  <w:style w:type="character" w:customStyle="1" w:styleId="HeaderChar">
    <w:name w:val="Header Char"/>
    <w:basedOn w:val="DefaultParagraphFont"/>
    <w:link w:val="Header"/>
    <w:uiPriority w:val="99"/>
    <w:rsid w:val="00CF5319"/>
    <w:rPr>
      <w:rFonts w:ascii="Times New Roman" w:eastAsia="Times New Roman" w:hAnsi="Times New Roman" w:cs="Times New Roman"/>
      <w:kern w:val="0"/>
      <w:szCs w:val="20"/>
      <w:lang w:val="en-GB" w:eastAsia="en-US"/>
      <w14:ligatures w14:val="none"/>
    </w:rPr>
  </w:style>
  <w:style w:type="paragraph" w:styleId="Footer">
    <w:name w:val="footer"/>
    <w:basedOn w:val="Normal"/>
    <w:link w:val="FooterChar"/>
    <w:uiPriority w:val="99"/>
    <w:unhideWhenUsed/>
    <w:rsid w:val="00CF5319"/>
    <w:pPr>
      <w:tabs>
        <w:tab w:val="clear" w:pos="709"/>
        <w:tab w:val="center" w:pos="4513"/>
        <w:tab w:val="right" w:pos="9026"/>
      </w:tabs>
    </w:pPr>
  </w:style>
  <w:style w:type="character" w:customStyle="1" w:styleId="FooterChar">
    <w:name w:val="Footer Char"/>
    <w:basedOn w:val="DefaultParagraphFont"/>
    <w:link w:val="Footer"/>
    <w:uiPriority w:val="99"/>
    <w:rsid w:val="00CF5319"/>
    <w:rPr>
      <w:rFonts w:ascii="Times New Roman" w:eastAsia="Times New Roman" w:hAnsi="Times New Roman" w:cs="Times New Roman"/>
      <w:kern w:val="0"/>
      <w:szCs w:val="20"/>
      <w:lang w:val="en-GB" w:eastAsia="en-US"/>
      <w14:ligatures w14:val="none"/>
    </w:rPr>
  </w:style>
  <w:style w:type="paragraph" w:styleId="Revision">
    <w:name w:val="Revision"/>
    <w:hidden/>
    <w:uiPriority w:val="99"/>
    <w:semiHidden/>
    <w:rsid w:val="00CF5319"/>
    <w:pPr>
      <w:spacing w:after="0" w:line="240" w:lineRule="auto"/>
    </w:pPr>
    <w:rPr>
      <w:rFonts w:ascii="Times New Roman" w:eastAsia="Times New Roman" w:hAnsi="Times New Roman" w:cs="Times New Roman"/>
      <w:kern w:val="0"/>
      <w:szCs w:val="20"/>
      <w:lang w:val="en-GB" w:eastAsia="en-US"/>
      <w14:ligatures w14:val="none"/>
    </w:rPr>
  </w:style>
  <w:style w:type="character" w:styleId="Hyperlink">
    <w:name w:val="Hyperlink"/>
    <w:basedOn w:val="DefaultParagraphFont"/>
    <w:uiPriority w:val="99"/>
    <w:semiHidden/>
    <w:unhideWhenUsed/>
    <w:rsid w:val="00FB54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305422">
      <w:bodyDiv w:val="1"/>
      <w:marLeft w:val="0"/>
      <w:marRight w:val="0"/>
      <w:marTop w:val="0"/>
      <w:marBottom w:val="0"/>
      <w:divBdr>
        <w:top w:val="none" w:sz="0" w:space="0" w:color="auto"/>
        <w:left w:val="none" w:sz="0" w:space="0" w:color="auto"/>
        <w:bottom w:val="none" w:sz="0" w:space="0" w:color="auto"/>
        <w:right w:val="none" w:sz="0" w:space="0" w:color="auto"/>
      </w:divBdr>
    </w:div>
    <w:div w:id="16306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2388</Words>
  <Characters>12505</Characters>
  <Application>Microsoft Office Word</Application>
  <DocSecurity>0</DocSecurity>
  <Lines>194</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Proyecto de resolución EC-57/DR.[5.4]</vt:lpstr>
      <vt:lpstr/>
    </vt:vector>
  </TitlesOfParts>
  <Company>UNESCO</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EC-57/DR.[5.4]</dc:title>
  <dc:subject>EC-57/DR.[5.4]</dc:subject>
  <dc:creator>Yvinec, Ksenia</dc:creator>
  <cp:keywords/>
  <dc:description/>
  <cp:lastModifiedBy>Lain, Ruben</cp:lastModifiedBy>
  <cp:revision>9</cp:revision>
  <dcterms:created xsi:type="dcterms:W3CDTF">2024-06-28T07:59:00Z</dcterms:created>
  <dcterms:modified xsi:type="dcterms:W3CDTF">2024-06-28T08:07:00Z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202402907</vt:lpwstr>
  </property>
  <property fmtid="{D5CDD505-2E9C-101B-9397-08002B2CF9AE}" pid="3" name="Language">
    <vt:lpwstr>S</vt:lpwstr>
  </property>
</Properties>
</file>