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C12C9" w14:textId="77777777" w:rsidR="00A7008F" w:rsidRPr="00430DAC" w:rsidRDefault="00A7008F" w:rsidP="0058146F">
      <w:pPr>
        <w:spacing w:after="240"/>
        <w:jc w:val="center"/>
        <w:rPr>
          <w:sz w:val="24"/>
          <w:szCs w:val="24"/>
        </w:rPr>
      </w:pPr>
      <w:r w:rsidRPr="00430DAC">
        <w:rPr>
          <w:sz w:val="24"/>
          <w:szCs w:val="24"/>
        </w:rPr>
        <w:t>Recommendations of the Task Team on Tsunami Exercises</w:t>
      </w:r>
    </w:p>
    <w:p w14:paraId="44867A13" w14:textId="75558B2E" w:rsidR="00812BF4" w:rsidRPr="00430DAC" w:rsidRDefault="00812BF4" w:rsidP="00812BF4">
      <w:pPr>
        <w:spacing w:after="240"/>
        <w:rPr>
          <w:sz w:val="24"/>
          <w:szCs w:val="24"/>
        </w:rPr>
      </w:pPr>
      <w:r w:rsidRPr="00430DAC">
        <w:rPr>
          <w:sz w:val="24"/>
          <w:szCs w:val="24"/>
        </w:rPr>
        <w:t>TT-TE recommends:</w:t>
      </w:r>
    </w:p>
    <w:p w14:paraId="3B973641" w14:textId="0AF16116" w:rsidR="00375D09" w:rsidRPr="00430DAC" w:rsidRDefault="00375D09" w:rsidP="006554BD">
      <w:pPr>
        <w:numPr>
          <w:ilvl w:val="0"/>
          <w:numId w:val="4"/>
        </w:numPr>
        <w:spacing w:after="0"/>
        <w:jc w:val="both"/>
        <w:rPr>
          <w:sz w:val="24"/>
          <w:szCs w:val="24"/>
        </w:rPr>
      </w:pPr>
      <w:r w:rsidRPr="00430DAC">
        <w:rPr>
          <w:sz w:val="24"/>
          <w:szCs w:val="24"/>
        </w:rPr>
        <w:t xml:space="preserve">To reschedule the next </w:t>
      </w:r>
      <w:proofErr w:type="spellStart"/>
      <w:r w:rsidRPr="00430DAC">
        <w:rPr>
          <w:sz w:val="24"/>
          <w:szCs w:val="24"/>
        </w:rPr>
        <w:t>NEAMWave</w:t>
      </w:r>
      <w:proofErr w:type="spellEnd"/>
      <w:r w:rsidRPr="00430DAC">
        <w:rPr>
          <w:sz w:val="24"/>
          <w:szCs w:val="24"/>
        </w:rPr>
        <w:t xml:space="preserve"> tsunami exercise and plan for its execution in 2026 (NEAMWave26), considering the timeline for Tsunami Ready activities within the </w:t>
      </w:r>
      <w:proofErr w:type="spellStart"/>
      <w:r w:rsidRPr="00430DAC">
        <w:rPr>
          <w:sz w:val="24"/>
          <w:szCs w:val="24"/>
        </w:rPr>
        <w:t>CoastWAVE</w:t>
      </w:r>
      <w:proofErr w:type="spellEnd"/>
      <w:r w:rsidRPr="00430DAC">
        <w:rPr>
          <w:sz w:val="24"/>
          <w:szCs w:val="24"/>
        </w:rPr>
        <w:t xml:space="preserve"> Project Phase 2.0, and facilitating the implementation of full-scale Phase B exercises by the project Member States;</w:t>
      </w:r>
    </w:p>
    <w:p w14:paraId="5F59329A" w14:textId="01D59DFD" w:rsidR="006554BD" w:rsidRPr="00430DAC" w:rsidRDefault="006554BD" w:rsidP="006554BD">
      <w:pPr>
        <w:numPr>
          <w:ilvl w:val="0"/>
          <w:numId w:val="4"/>
        </w:numPr>
        <w:spacing w:after="0"/>
        <w:jc w:val="both"/>
        <w:rPr>
          <w:sz w:val="24"/>
          <w:szCs w:val="24"/>
        </w:rPr>
      </w:pPr>
      <w:r w:rsidRPr="00430DAC">
        <w:rPr>
          <w:sz w:val="24"/>
          <w:szCs w:val="24"/>
        </w:rPr>
        <w:t xml:space="preserve">To organize the </w:t>
      </w:r>
      <w:proofErr w:type="spellStart"/>
      <w:r w:rsidRPr="00430DAC">
        <w:rPr>
          <w:sz w:val="24"/>
          <w:szCs w:val="24"/>
        </w:rPr>
        <w:t>NEAMWave</w:t>
      </w:r>
      <w:proofErr w:type="spellEnd"/>
      <w:r w:rsidRPr="00430DAC">
        <w:rPr>
          <w:sz w:val="24"/>
          <w:szCs w:val="24"/>
        </w:rPr>
        <w:t xml:space="preserve"> exercise with a more flexible schedule, featuring one or two scenarios per week (based on the total number of scenarios), rather than condensing all scenarios into </w:t>
      </w:r>
      <w:r w:rsidR="00F0224E" w:rsidRPr="00430DAC">
        <w:rPr>
          <w:sz w:val="24"/>
          <w:szCs w:val="24"/>
        </w:rPr>
        <w:t>consecutive</w:t>
      </w:r>
      <w:r w:rsidRPr="00430DAC">
        <w:rPr>
          <w:sz w:val="24"/>
          <w:szCs w:val="24"/>
        </w:rPr>
        <w:t xml:space="preserve"> days</w:t>
      </w:r>
      <w:r w:rsidR="00375D09" w:rsidRPr="00430DAC">
        <w:rPr>
          <w:sz w:val="24"/>
          <w:szCs w:val="24"/>
        </w:rPr>
        <w:t>;</w:t>
      </w:r>
    </w:p>
    <w:p w14:paraId="313C6496" w14:textId="3146E1AD" w:rsidR="006554BD" w:rsidRPr="00430DAC" w:rsidRDefault="006554BD" w:rsidP="006554BD">
      <w:pPr>
        <w:numPr>
          <w:ilvl w:val="0"/>
          <w:numId w:val="4"/>
        </w:numPr>
        <w:spacing w:after="0"/>
        <w:jc w:val="both"/>
        <w:rPr>
          <w:sz w:val="24"/>
          <w:szCs w:val="24"/>
        </w:rPr>
      </w:pPr>
      <w:r w:rsidRPr="00430DAC">
        <w:rPr>
          <w:sz w:val="24"/>
          <w:szCs w:val="24"/>
        </w:rPr>
        <w:t>To develop exercise scenarios through collaboration between TSPs and NTWCs, ensuring that the messages are tailored to address the specific needs of the MS</w:t>
      </w:r>
      <w:r w:rsidR="00375D09" w:rsidRPr="00430DAC">
        <w:rPr>
          <w:sz w:val="24"/>
          <w:szCs w:val="24"/>
        </w:rPr>
        <w:t>;</w:t>
      </w:r>
    </w:p>
    <w:p w14:paraId="5E5A072F" w14:textId="2086ACCD" w:rsidR="006554BD" w:rsidRPr="00430DAC" w:rsidRDefault="006554BD" w:rsidP="006554BD">
      <w:pPr>
        <w:numPr>
          <w:ilvl w:val="0"/>
          <w:numId w:val="4"/>
        </w:numPr>
        <w:spacing w:after="0"/>
        <w:jc w:val="both"/>
        <w:rPr>
          <w:sz w:val="24"/>
          <w:szCs w:val="24"/>
        </w:rPr>
      </w:pPr>
      <w:r w:rsidRPr="00430DAC">
        <w:rPr>
          <w:sz w:val="24"/>
          <w:szCs w:val="24"/>
        </w:rPr>
        <w:t xml:space="preserve">TSPs to co-operate and prepare one or more joint exercise scenarios and make the exercise more challenging in such a way that they can disseminate different alert messages for the same </w:t>
      </w:r>
      <w:r w:rsidR="00F0224E" w:rsidRPr="00430DAC">
        <w:rPr>
          <w:sz w:val="24"/>
          <w:szCs w:val="24"/>
        </w:rPr>
        <w:t xml:space="preserve">joint </w:t>
      </w:r>
      <w:r w:rsidRPr="00430DAC">
        <w:rPr>
          <w:sz w:val="24"/>
          <w:szCs w:val="24"/>
        </w:rPr>
        <w:t xml:space="preserve">exercise scenario; </w:t>
      </w:r>
    </w:p>
    <w:p w14:paraId="0FBE9E64" w14:textId="1B7A2A46" w:rsidR="00375D09" w:rsidRPr="00430DAC" w:rsidRDefault="00375D09" w:rsidP="00375D09">
      <w:pPr>
        <w:numPr>
          <w:ilvl w:val="0"/>
          <w:numId w:val="4"/>
        </w:numPr>
        <w:spacing w:after="0"/>
        <w:rPr>
          <w:sz w:val="24"/>
          <w:szCs w:val="24"/>
        </w:rPr>
      </w:pPr>
      <w:r w:rsidRPr="00430DAC">
        <w:rPr>
          <w:sz w:val="24"/>
          <w:szCs w:val="24"/>
        </w:rPr>
        <w:t>To revise and enhance the online tools (subscription and evaluation) to make them more user-friendly. The subscription process should be streamlined to more effectively capture participant numbers, and simplified by explicitly requesting "new" contact details for the exercise when necessary and allowing the registration of new participants beyond the current subscribers to TSPs’ services;</w:t>
      </w:r>
      <w:r w:rsidRPr="00430DAC">
        <w:t xml:space="preserve"> </w:t>
      </w:r>
    </w:p>
    <w:p w14:paraId="2E197589" w14:textId="7EAE942E" w:rsidR="00375D09" w:rsidRPr="00430DAC" w:rsidRDefault="00375D09" w:rsidP="00375D09">
      <w:pPr>
        <w:numPr>
          <w:ilvl w:val="0"/>
          <w:numId w:val="4"/>
        </w:numPr>
        <w:spacing w:after="0"/>
        <w:rPr>
          <w:sz w:val="24"/>
          <w:szCs w:val="24"/>
        </w:rPr>
      </w:pPr>
      <w:r w:rsidRPr="00430DAC">
        <w:rPr>
          <w:sz w:val="24"/>
          <w:szCs w:val="24"/>
        </w:rPr>
        <w:t>To base the statistics and assessment of participation in the exercise solely on the evaluation forms, rather than the subscription forms;</w:t>
      </w:r>
    </w:p>
    <w:p w14:paraId="475DD778" w14:textId="11A76B58" w:rsidR="00593EE4" w:rsidRPr="00430DAC" w:rsidRDefault="00593EE4" w:rsidP="00CE5533">
      <w:pPr>
        <w:numPr>
          <w:ilvl w:val="0"/>
          <w:numId w:val="4"/>
        </w:numPr>
        <w:spacing w:after="0"/>
        <w:rPr>
          <w:sz w:val="24"/>
          <w:szCs w:val="24"/>
        </w:rPr>
      </w:pPr>
      <w:r w:rsidRPr="00430DAC">
        <w:rPr>
          <w:sz w:val="24"/>
          <w:szCs w:val="24"/>
        </w:rPr>
        <w:t xml:space="preserve">To investigate the potential for further testing </w:t>
      </w:r>
      <w:r w:rsidR="0044133B" w:rsidRPr="00430DAC">
        <w:rPr>
          <w:sz w:val="24"/>
          <w:szCs w:val="24"/>
        </w:rPr>
        <w:t xml:space="preserve">of </w:t>
      </w:r>
      <w:r w:rsidRPr="00430DAC">
        <w:rPr>
          <w:sz w:val="24"/>
          <w:szCs w:val="24"/>
        </w:rPr>
        <w:t xml:space="preserve">the use of Galileo EWS for message dissemination. </w:t>
      </w:r>
      <w:proofErr w:type="spellStart"/>
      <w:r w:rsidR="00CE5533" w:rsidRPr="00430DAC">
        <w:rPr>
          <w:sz w:val="24"/>
          <w:szCs w:val="24"/>
        </w:rPr>
        <w:t>NEAMWave</w:t>
      </w:r>
      <w:proofErr w:type="spellEnd"/>
      <w:r w:rsidR="00CE5533" w:rsidRPr="00430DAC">
        <w:rPr>
          <w:sz w:val="24"/>
          <w:szCs w:val="24"/>
        </w:rPr>
        <w:t xml:space="preserve"> Exercise Manual should be updated to illustrate the termination of fax message dissemination, while o</w:t>
      </w:r>
      <w:r w:rsidRPr="00430DAC">
        <w:rPr>
          <w:sz w:val="24"/>
          <w:szCs w:val="24"/>
        </w:rPr>
        <w:t>ther dissemination methods like SMSs</w:t>
      </w:r>
      <w:r w:rsidR="00375D09" w:rsidRPr="00430DAC">
        <w:rPr>
          <w:sz w:val="24"/>
          <w:szCs w:val="24"/>
        </w:rPr>
        <w:t>, CAP-TSU</w:t>
      </w:r>
      <w:r w:rsidRPr="00430DAC">
        <w:rPr>
          <w:sz w:val="24"/>
          <w:szCs w:val="24"/>
        </w:rPr>
        <w:t xml:space="preserve"> or automated phone calls should be explored, in order to evaluate the effectiveness and feasibility of non-internet-based methods, as alternative dissemination ways of sharing information</w:t>
      </w:r>
      <w:r w:rsidR="00CE5533" w:rsidRPr="00430DAC">
        <w:rPr>
          <w:sz w:val="24"/>
          <w:szCs w:val="24"/>
        </w:rPr>
        <w:t>;</w:t>
      </w:r>
    </w:p>
    <w:p w14:paraId="08D53982" w14:textId="78F4FBDF" w:rsidR="00FC08BA" w:rsidRPr="00430DAC" w:rsidRDefault="00FC08BA" w:rsidP="005A20FE">
      <w:pPr>
        <w:numPr>
          <w:ilvl w:val="0"/>
          <w:numId w:val="4"/>
        </w:numPr>
        <w:spacing w:after="0"/>
        <w:jc w:val="both"/>
        <w:rPr>
          <w:sz w:val="24"/>
          <w:szCs w:val="24"/>
        </w:rPr>
      </w:pPr>
      <w:r w:rsidRPr="00430DAC">
        <w:rPr>
          <w:sz w:val="24"/>
          <w:szCs w:val="24"/>
        </w:rPr>
        <w:t xml:space="preserve">To organize </w:t>
      </w:r>
      <w:proofErr w:type="spellStart"/>
      <w:r w:rsidR="00593EE4" w:rsidRPr="00430DAC">
        <w:rPr>
          <w:sz w:val="24"/>
          <w:szCs w:val="24"/>
        </w:rPr>
        <w:t>NEAMWave</w:t>
      </w:r>
      <w:proofErr w:type="spellEnd"/>
      <w:r w:rsidR="00593EE4" w:rsidRPr="00430DAC">
        <w:rPr>
          <w:sz w:val="24"/>
          <w:szCs w:val="24"/>
        </w:rPr>
        <w:t xml:space="preserve"> Preparation Meeting(s) </w:t>
      </w:r>
      <w:r w:rsidRPr="00430DAC">
        <w:rPr>
          <w:sz w:val="24"/>
          <w:szCs w:val="24"/>
        </w:rPr>
        <w:t xml:space="preserve">between the TT-TE </w:t>
      </w:r>
      <w:r w:rsidR="002D73BE" w:rsidRPr="00430DAC">
        <w:rPr>
          <w:sz w:val="24"/>
          <w:szCs w:val="24"/>
        </w:rPr>
        <w:t>Exercise T</w:t>
      </w:r>
      <w:r w:rsidRPr="00430DAC">
        <w:rPr>
          <w:sz w:val="24"/>
          <w:szCs w:val="24"/>
        </w:rPr>
        <w:t xml:space="preserve">eam and targeted participant groups, like TSPs, TWFPs, CPAs etc. prior to the exercise for explaining the details of exercise scenarios and discussing on the progress of </w:t>
      </w:r>
      <w:proofErr w:type="spellStart"/>
      <w:r w:rsidRPr="00430DAC">
        <w:rPr>
          <w:sz w:val="24"/>
          <w:szCs w:val="24"/>
        </w:rPr>
        <w:t>NEAMWave</w:t>
      </w:r>
      <w:proofErr w:type="spellEnd"/>
      <w:r w:rsidRPr="00430DAC">
        <w:rPr>
          <w:sz w:val="24"/>
          <w:szCs w:val="24"/>
        </w:rPr>
        <w:t xml:space="preserve"> activities;</w:t>
      </w:r>
    </w:p>
    <w:p w14:paraId="1A60623B" w14:textId="157F3385" w:rsidR="00593EE4" w:rsidRPr="00430DAC" w:rsidRDefault="00FC08BA" w:rsidP="005A20FE">
      <w:pPr>
        <w:numPr>
          <w:ilvl w:val="0"/>
          <w:numId w:val="4"/>
        </w:numPr>
        <w:spacing w:after="0"/>
        <w:jc w:val="both"/>
        <w:rPr>
          <w:sz w:val="24"/>
          <w:szCs w:val="24"/>
        </w:rPr>
      </w:pPr>
      <w:r w:rsidRPr="00430DAC">
        <w:rPr>
          <w:sz w:val="24"/>
          <w:szCs w:val="24"/>
        </w:rPr>
        <w:t xml:space="preserve">To organize online meetings with ERCC </w:t>
      </w:r>
      <w:r w:rsidR="00593EE4" w:rsidRPr="00430DAC">
        <w:rPr>
          <w:sz w:val="24"/>
          <w:szCs w:val="24"/>
        </w:rPr>
        <w:t xml:space="preserve">for discussing about the </w:t>
      </w:r>
      <w:r w:rsidR="00863D6F" w:rsidRPr="00430DAC">
        <w:rPr>
          <w:sz w:val="24"/>
          <w:szCs w:val="24"/>
        </w:rPr>
        <w:t xml:space="preserve">best practices in the </w:t>
      </w:r>
      <w:r w:rsidR="00593EE4" w:rsidRPr="00430DAC">
        <w:rPr>
          <w:sz w:val="24"/>
          <w:szCs w:val="24"/>
        </w:rPr>
        <w:t>implementation of Phase C</w:t>
      </w:r>
      <w:r w:rsidR="00863D6F" w:rsidRPr="00430DAC">
        <w:rPr>
          <w:sz w:val="24"/>
          <w:szCs w:val="24"/>
        </w:rPr>
        <w:t xml:space="preserve">, such as definition of minimum criteria for implementing Phase C, keeping the contact list of the national contact points up to date, </w:t>
      </w:r>
      <w:proofErr w:type="spellStart"/>
      <w:r w:rsidR="00863D6F" w:rsidRPr="00430DAC">
        <w:rPr>
          <w:sz w:val="24"/>
          <w:szCs w:val="24"/>
        </w:rPr>
        <w:t>etc</w:t>
      </w:r>
      <w:proofErr w:type="spellEnd"/>
      <w:r w:rsidR="00863D6F" w:rsidRPr="00430DAC">
        <w:rPr>
          <w:sz w:val="24"/>
          <w:szCs w:val="24"/>
        </w:rPr>
        <w:t>;</w:t>
      </w:r>
    </w:p>
    <w:p w14:paraId="1C1D39BB" w14:textId="77777777" w:rsidR="00FC08BA" w:rsidRPr="00430DAC" w:rsidRDefault="00FC08BA" w:rsidP="005A20FE">
      <w:pPr>
        <w:numPr>
          <w:ilvl w:val="0"/>
          <w:numId w:val="4"/>
        </w:numPr>
        <w:spacing w:after="0"/>
        <w:jc w:val="both"/>
        <w:rPr>
          <w:sz w:val="24"/>
          <w:szCs w:val="24"/>
        </w:rPr>
      </w:pPr>
      <w:r w:rsidRPr="00430DAC">
        <w:rPr>
          <w:sz w:val="24"/>
          <w:szCs w:val="24"/>
        </w:rPr>
        <w:t xml:space="preserve">TNCs of Member States to encourage Civil Protection Authorities in their country to participate in future </w:t>
      </w:r>
      <w:proofErr w:type="spellStart"/>
      <w:r w:rsidRPr="00430DAC">
        <w:rPr>
          <w:sz w:val="24"/>
          <w:szCs w:val="24"/>
        </w:rPr>
        <w:t>NEAMWave</w:t>
      </w:r>
      <w:proofErr w:type="spellEnd"/>
      <w:r w:rsidRPr="00430DAC">
        <w:rPr>
          <w:sz w:val="24"/>
          <w:szCs w:val="24"/>
        </w:rPr>
        <w:t xml:space="preserve"> exercises;</w:t>
      </w:r>
    </w:p>
    <w:p w14:paraId="736998A5" w14:textId="77777777" w:rsidR="00375D09" w:rsidRPr="00430DAC" w:rsidRDefault="00375D09" w:rsidP="005A20FE">
      <w:pPr>
        <w:numPr>
          <w:ilvl w:val="0"/>
          <w:numId w:val="4"/>
        </w:numPr>
        <w:spacing w:after="0"/>
        <w:ind w:left="714" w:hanging="357"/>
        <w:rPr>
          <w:sz w:val="24"/>
          <w:szCs w:val="24"/>
        </w:rPr>
      </w:pPr>
      <w:r w:rsidRPr="00430DAC">
        <w:rPr>
          <w:sz w:val="24"/>
          <w:szCs w:val="24"/>
        </w:rPr>
        <w:lastRenderedPageBreak/>
        <w:t xml:space="preserve">Simplifying the </w:t>
      </w:r>
      <w:proofErr w:type="spellStart"/>
      <w:r w:rsidRPr="00430DAC">
        <w:rPr>
          <w:sz w:val="24"/>
          <w:szCs w:val="24"/>
        </w:rPr>
        <w:t>NEAMWave</w:t>
      </w:r>
      <w:proofErr w:type="spellEnd"/>
      <w:r w:rsidRPr="00430DAC">
        <w:rPr>
          <w:sz w:val="24"/>
          <w:szCs w:val="24"/>
        </w:rPr>
        <w:t xml:space="preserve"> Final Evaluation Reports to improve efficiency and make them more user-friendly;</w:t>
      </w:r>
    </w:p>
    <w:p w14:paraId="1F275036" w14:textId="3195C02F" w:rsidR="00375D09" w:rsidRPr="00430DAC" w:rsidRDefault="00375D09" w:rsidP="005A20FE">
      <w:pPr>
        <w:numPr>
          <w:ilvl w:val="0"/>
          <w:numId w:val="4"/>
        </w:numPr>
        <w:spacing w:after="0"/>
        <w:rPr>
          <w:sz w:val="24"/>
          <w:szCs w:val="24"/>
        </w:rPr>
      </w:pPr>
      <w:r w:rsidRPr="00430DAC">
        <w:rPr>
          <w:sz w:val="24"/>
          <w:szCs w:val="24"/>
        </w:rPr>
        <w:t>Limiting the content and length of TSPs Final Evaluation Reports to specific bullet points, including a summary of exercise performance, along with suggestions and recommendations;</w:t>
      </w:r>
    </w:p>
    <w:p w14:paraId="50ABC17D" w14:textId="2E39F841" w:rsidR="00DD2F95" w:rsidRPr="00430DAC" w:rsidRDefault="005A20FE" w:rsidP="00CF1738">
      <w:pPr>
        <w:numPr>
          <w:ilvl w:val="0"/>
          <w:numId w:val="4"/>
        </w:numPr>
        <w:jc w:val="both"/>
        <w:rPr>
          <w:sz w:val="24"/>
          <w:szCs w:val="24"/>
        </w:rPr>
      </w:pPr>
      <w:r w:rsidRPr="00430DAC">
        <w:rPr>
          <w:sz w:val="24"/>
          <w:szCs w:val="24"/>
        </w:rPr>
        <w:t xml:space="preserve">To change the name of Task Team on Tsunami Exercise to Task Team on </w:t>
      </w:r>
      <w:proofErr w:type="spellStart"/>
      <w:r w:rsidRPr="00430DAC">
        <w:rPr>
          <w:sz w:val="24"/>
          <w:szCs w:val="24"/>
        </w:rPr>
        <w:t>NEAMWave</w:t>
      </w:r>
      <w:proofErr w:type="spellEnd"/>
      <w:r w:rsidRPr="00430DAC">
        <w:rPr>
          <w:sz w:val="24"/>
          <w:szCs w:val="24"/>
        </w:rPr>
        <w:t xml:space="preserve"> Exercise (TT-</w:t>
      </w:r>
      <w:proofErr w:type="spellStart"/>
      <w:r w:rsidRPr="00430DAC">
        <w:rPr>
          <w:sz w:val="24"/>
          <w:szCs w:val="24"/>
        </w:rPr>
        <w:t>NEAMWave</w:t>
      </w:r>
      <w:proofErr w:type="spellEnd"/>
      <w:r w:rsidRPr="00430DAC">
        <w:rPr>
          <w:sz w:val="24"/>
          <w:szCs w:val="24"/>
        </w:rPr>
        <w:t>), following the practice in other ICGs.</w:t>
      </w:r>
    </w:p>
    <w:p w14:paraId="4B9FF4EB" w14:textId="77777777" w:rsidR="00DD2F95" w:rsidRPr="00430DAC" w:rsidRDefault="00DD2F95" w:rsidP="005671FF">
      <w:pPr>
        <w:spacing w:after="0"/>
        <w:jc w:val="both"/>
        <w:rPr>
          <w:sz w:val="24"/>
          <w:szCs w:val="24"/>
        </w:rPr>
      </w:pPr>
    </w:p>
    <w:p w14:paraId="6ECACA18" w14:textId="77777777" w:rsidR="005671FF" w:rsidRPr="00430DAC" w:rsidRDefault="005671FF" w:rsidP="005671FF">
      <w:pPr>
        <w:pStyle w:val="Default"/>
        <w:rPr>
          <w:sz w:val="22"/>
          <w:szCs w:val="22"/>
        </w:rPr>
      </w:pPr>
      <w:r w:rsidRPr="00430DAC">
        <w:rPr>
          <w:sz w:val="22"/>
          <w:szCs w:val="22"/>
        </w:rPr>
        <w:t xml:space="preserve">Terms of Reference of the ICG/NEAMTWS Task Team on Tsunami Exercise </w:t>
      </w:r>
    </w:p>
    <w:p w14:paraId="63DC6CDF" w14:textId="77777777" w:rsidR="005671FF" w:rsidRPr="00430DAC" w:rsidRDefault="005671FF" w:rsidP="005671FF">
      <w:pPr>
        <w:pStyle w:val="Default"/>
        <w:ind w:left="720"/>
        <w:rPr>
          <w:sz w:val="22"/>
          <w:szCs w:val="22"/>
        </w:rPr>
      </w:pPr>
    </w:p>
    <w:p w14:paraId="74B7E257" w14:textId="29DE59ED" w:rsidR="005671FF" w:rsidRPr="00430DAC" w:rsidRDefault="005671FF" w:rsidP="005671FF">
      <w:pPr>
        <w:pStyle w:val="Default"/>
        <w:ind w:left="720"/>
        <w:rPr>
          <w:sz w:val="22"/>
          <w:szCs w:val="22"/>
        </w:rPr>
      </w:pPr>
      <w:r w:rsidRPr="00430DAC">
        <w:rPr>
          <w:sz w:val="22"/>
          <w:szCs w:val="22"/>
        </w:rPr>
        <w:t xml:space="preserve">Mandate </w:t>
      </w:r>
      <w:r w:rsidR="0044133B" w:rsidRPr="00430DAC">
        <w:rPr>
          <w:sz w:val="22"/>
          <w:szCs w:val="22"/>
        </w:rPr>
        <w:t>(updated)</w:t>
      </w:r>
    </w:p>
    <w:p w14:paraId="7C0192E2" w14:textId="77777777" w:rsidR="005671FF" w:rsidRPr="00430DAC" w:rsidRDefault="005671FF" w:rsidP="005671FF">
      <w:pPr>
        <w:pStyle w:val="Default"/>
        <w:ind w:left="720"/>
        <w:rPr>
          <w:sz w:val="22"/>
          <w:szCs w:val="22"/>
        </w:rPr>
      </w:pPr>
    </w:p>
    <w:p w14:paraId="4D732BE6" w14:textId="2BEB46A3" w:rsidR="005671FF" w:rsidRPr="00430DAC" w:rsidRDefault="005671FF" w:rsidP="005671FF">
      <w:pPr>
        <w:pStyle w:val="Default"/>
        <w:ind w:left="720"/>
        <w:rPr>
          <w:sz w:val="22"/>
          <w:szCs w:val="22"/>
        </w:rPr>
      </w:pPr>
      <w:r w:rsidRPr="00430DAC">
        <w:rPr>
          <w:sz w:val="22"/>
          <w:szCs w:val="22"/>
        </w:rPr>
        <w:t xml:space="preserve">The Task Team will: </w:t>
      </w:r>
    </w:p>
    <w:p w14:paraId="7A69644C" w14:textId="77777777" w:rsidR="005671FF" w:rsidRPr="00430DAC" w:rsidRDefault="005671FF" w:rsidP="005671FF">
      <w:pPr>
        <w:pStyle w:val="Default"/>
        <w:ind w:left="720"/>
        <w:rPr>
          <w:sz w:val="22"/>
          <w:szCs w:val="22"/>
        </w:rPr>
      </w:pPr>
    </w:p>
    <w:p w14:paraId="336B015F" w14:textId="567EE9E4" w:rsidR="005A20FE" w:rsidRPr="00430DAC" w:rsidRDefault="005671FF" w:rsidP="005671FF">
      <w:pPr>
        <w:pStyle w:val="Default"/>
        <w:ind w:left="720"/>
        <w:jc w:val="both"/>
        <w:rPr>
          <w:sz w:val="22"/>
          <w:szCs w:val="22"/>
        </w:rPr>
      </w:pPr>
      <w:proofErr w:type="spellStart"/>
      <w:r w:rsidRPr="00430DAC">
        <w:rPr>
          <w:sz w:val="22"/>
          <w:szCs w:val="22"/>
        </w:rPr>
        <w:t>i</w:t>
      </w:r>
      <w:proofErr w:type="spellEnd"/>
      <w:r w:rsidRPr="00430DAC">
        <w:rPr>
          <w:sz w:val="22"/>
          <w:szCs w:val="22"/>
        </w:rPr>
        <w:t xml:space="preserve">. </w:t>
      </w:r>
      <w:r w:rsidR="005A20FE" w:rsidRPr="00430DAC">
        <w:rPr>
          <w:sz w:val="22"/>
          <w:szCs w:val="22"/>
        </w:rPr>
        <w:t xml:space="preserve">Collaborate with TSPs </w:t>
      </w:r>
      <w:r w:rsidR="00375D09" w:rsidRPr="00430DAC">
        <w:rPr>
          <w:sz w:val="22"/>
          <w:szCs w:val="22"/>
        </w:rPr>
        <w:t xml:space="preserve">and NTWCs </w:t>
      </w:r>
      <w:r w:rsidR="005A20FE" w:rsidRPr="00430DAC">
        <w:rPr>
          <w:sz w:val="22"/>
          <w:szCs w:val="22"/>
        </w:rPr>
        <w:t>for the preparation of exercise scenarios;</w:t>
      </w:r>
    </w:p>
    <w:p w14:paraId="28F7E4BB" w14:textId="77777777" w:rsidR="005A20FE" w:rsidRPr="00430DAC" w:rsidRDefault="005A20FE" w:rsidP="005671FF">
      <w:pPr>
        <w:pStyle w:val="Default"/>
        <w:ind w:left="720"/>
        <w:jc w:val="both"/>
        <w:rPr>
          <w:sz w:val="22"/>
          <w:szCs w:val="22"/>
        </w:rPr>
      </w:pPr>
    </w:p>
    <w:p w14:paraId="5667FFFA" w14:textId="62D56E60" w:rsidR="005671FF" w:rsidRPr="00430DAC" w:rsidRDefault="005A20FE" w:rsidP="005A20FE">
      <w:pPr>
        <w:pStyle w:val="Default"/>
        <w:ind w:left="720"/>
        <w:jc w:val="both"/>
        <w:rPr>
          <w:sz w:val="22"/>
          <w:szCs w:val="22"/>
        </w:rPr>
      </w:pPr>
      <w:r w:rsidRPr="00430DAC">
        <w:rPr>
          <w:sz w:val="22"/>
          <w:szCs w:val="22"/>
        </w:rPr>
        <w:t xml:space="preserve">ii. Support </w:t>
      </w:r>
      <w:r w:rsidR="00CF1738" w:rsidRPr="00430DAC">
        <w:rPr>
          <w:sz w:val="22"/>
          <w:szCs w:val="22"/>
        </w:rPr>
        <w:t xml:space="preserve">the ICG/NEAMTWS Secretariat to finalize </w:t>
      </w:r>
      <w:r w:rsidR="005671FF" w:rsidRPr="00430DAC">
        <w:rPr>
          <w:sz w:val="22"/>
          <w:szCs w:val="22"/>
        </w:rPr>
        <w:t xml:space="preserve">NEAMWave23 Evaluation report; </w:t>
      </w:r>
    </w:p>
    <w:p w14:paraId="6ED40976" w14:textId="77777777" w:rsidR="005671FF" w:rsidRPr="00430DAC" w:rsidRDefault="005671FF" w:rsidP="005671FF">
      <w:pPr>
        <w:pStyle w:val="Default"/>
        <w:ind w:left="720"/>
        <w:jc w:val="both"/>
        <w:rPr>
          <w:sz w:val="22"/>
          <w:szCs w:val="22"/>
        </w:rPr>
      </w:pPr>
    </w:p>
    <w:p w14:paraId="577BE66E" w14:textId="075DFD13" w:rsidR="005671FF" w:rsidRPr="00430DAC" w:rsidRDefault="005671FF" w:rsidP="005671FF">
      <w:pPr>
        <w:pStyle w:val="Default"/>
        <w:spacing w:after="346"/>
        <w:ind w:left="720"/>
        <w:jc w:val="both"/>
        <w:rPr>
          <w:sz w:val="22"/>
          <w:szCs w:val="22"/>
        </w:rPr>
      </w:pPr>
      <w:r w:rsidRPr="00430DAC">
        <w:rPr>
          <w:sz w:val="22"/>
          <w:szCs w:val="22"/>
        </w:rPr>
        <w:t xml:space="preserve">ii. Work on the preparations of </w:t>
      </w:r>
      <w:r w:rsidR="00DD401D" w:rsidRPr="00430DAC">
        <w:rPr>
          <w:sz w:val="22"/>
          <w:szCs w:val="22"/>
        </w:rPr>
        <w:t xml:space="preserve">the next </w:t>
      </w:r>
      <w:proofErr w:type="spellStart"/>
      <w:r w:rsidRPr="00430DAC">
        <w:rPr>
          <w:sz w:val="22"/>
          <w:szCs w:val="22"/>
        </w:rPr>
        <w:t>NEAMWave</w:t>
      </w:r>
      <w:proofErr w:type="spellEnd"/>
      <w:r w:rsidR="00DD401D" w:rsidRPr="00430DAC">
        <w:rPr>
          <w:sz w:val="22"/>
          <w:szCs w:val="22"/>
        </w:rPr>
        <w:t xml:space="preserve"> exercise,</w:t>
      </w:r>
      <w:r w:rsidRPr="00430DAC">
        <w:rPr>
          <w:sz w:val="22"/>
          <w:szCs w:val="22"/>
        </w:rPr>
        <w:t xml:space="preserve"> in cooperation with the exercise team; </w:t>
      </w:r>
    </w:p>
    <w:p w14:paraId="4743FFD3" w14:textId="3DB79282" w:rsidR="005671FF" w:rsidRPr="00430DAC" w:rsidRDefault="005671FF" w:rsidP="005671FF">
      <w:pPr>
        <w:pStyle w:val="Default"/>
        <w:spacing w:after="346"/>
        <w:ind w:left="720"/>
        <w:jc w:val="both"/>
        <w:rPr>
          <w:sz w:val="22"/>
          <w:szCs w:val="22"/>
        </w:rPr>
      </w:pPr>
      <w:r w:rsidRPr="00430DAC">
        <w:rPr>
          <w:sz w:val="22"/>
          <w:szCs w:val="22"/>
        </w:rPr>
        <w:t xml:space="preserve">iii. Update the </w:t>
      </w:r>
      <w:proofErr w:type="spellStart"/>
      <w:r w:rsidRPr="00430DAC">
        <w:rPr>
          <w:sz w:val="22"/>
          <w:szCs w:val="22"/>
        </w:rPr>
        <w:t>NEAMWave</w:t>
      </w:r>
      <w:proofErr w:type="spellEnd"/>
      <w:r w:rsidRPr="00430DAC">
        <w:rPr>
          <w:sz w:val="22"/>
          <w:szCs w:val="22"/>
        </w:rPr>
        <w:t xml:space="preserve"> Exercise Manual and online forms for subscription and evaluation, in collaboration with the </w:t>
      </w:r>
      <w:r w:rsidR="00DD401D" w:rsidRPr="00430DAC">
        <w:rPr>
          <w:sz w:val="22"/>
          <w:szCs w:val="22"/>
        </w:rPr>
        <w:t>ICG/NEAMTWS</w:t>
      </w:r>
      <w:r w:rsidRPr="00430DAC">
        <w:rPr>
          <w:sz w:val="22"/>
          <w:szCs w:val="22"/>
        </w:rPr>
        <w:t xml:space="preserve"> Secretariat; </w:t>
      </w:r>
    </w:p>
    <w:p w14:paraId="16BA10C8" w14:textId="1D1ECB0C" w:rsidR="005671FF" w:rsidRPr="00430DAC" w:rsidRDefault="005671FF" w:rsidP="005671FF">
      <w:pPr>
        <w:pStyle w:val="Default"/>
        <w:ind w:left="720"/>
        <w:jc w:val="both"/>
        <w:rPr>
          <w:sz w:val="22"/>
          <w:szCs w:val="22"/>
        </w:rPr>
      </w:pPr>
      <w:r w:rsidRPr="00430DAC">
        <w:rPr>
          <w:sz w:val="22"/>
          <w:szCs w:val="22"/>
        </w:rPr>
        <w:t xml:space="preserve">iv. Support the </w:t>
      </w:r>
      <w:r w:rsidR="00DD401D" w:rsidRPr="00430DAC">
        <w:rPr>
          <w:sz w:val="22"/>
          <w:szCs w:val="22"/>
        </w:rPr>
        <w:t xml:space="preserve">ICG/NEAMTWS </w:t>
      </w:r>
      <w:r w:rsidRPr="00430DAC">
        <w:rPr>
          <w:sz w:val="22"/>
          <w:szCs w:val="22"/>
        </w:rPr>
        <w:t xml:space="preserve">Secretariat in the organization of online meetings for exercise preparation. </w:t>
      </w:r>
    </w:p>
    <w:p w14:paraId="2FA81490" w14:textId="77777777" w:rsidR="005671FF" w:rsidRPr="00430DAC" w:rsidRDefault="005671FF" w:rsidP="005671FF">
      <w:pPr>
        <w:spacing w:after="0"/>
        <w:jc w:val="both"/>
        <w:rPr>
          <w:sz w:val="24"/>
          <w:szCs w:val="24"/>
        </w:rPr>
      </w:pPr>
    </w:p>
    <w:p w14:paraId="513297A3" w14:textId="44121C5A" w:rsidR="00DD2F95" w:rsidRPr="00430DAC" w:rsidRDefault="00DD2F95" w:rsidP="005671FF">
      <w:pPr>
        <w:spacing w:after="0"/>
        <w:jc w:val="both"/>
        <w:rPr>
          <w:sz w:val="24"/>
          <w:szCs w:val="24"/>
        </w:rPr>
      </w:pPr>
      <w:r w:rsidRPr="00430DAC">
        <w:rPr>
          <w:sz w:val="24"/>
          <w:szCs w:val="24"/>
        </w:rPr>
        <w:t>General Decisions</w:t>
      </w:r>
    </w:p>
    <w:p w14:paraId="123B46B2" w14:textId="41C582AA" w:rsidR="006660E8" w:rsidRPr="00430DAC" w:rsidRDefault="006660E8" w:rsidP="005671FF">
      <w:pPr>
        <w:spacing w:after="0"/>
        <w:jc w:val="both"/>
        <w:rPr>
          <w:sz w:val="24"/>
          <w:szCs w:val="24"/>
        </w:rPr>
      </w:pPr>
      <w:r w:rsidRPr="00430DAC">
        <w:rPr>
          <w:sz w:val="24"/>
          <w:szCs w:val="24"/>
        </w:rPr>
        <w:t>(ICG) Decides:</w:t>
      </w:r>
    </w:p>
    <w:p w14:paraId="03329F8E" w14:textId="77777777" w:rsidR="006660E8" w:rsidRPr="00430DAC" w:rsidRDefault="006660E8" w:rsidP="006660E8">
      <w:pPr>
        <w:autoSpaceDE w:val="0"/>
        <w:autoSpaceDN w:val="0"/>
        <w:adjustRightInd w:val="0"/>
        <w:spacing w:after="0" w:line="240" w:lineRule="auto"/>
        <w:rPr>
          <w:rFonts w:ascii="Times New Roman" w:hAnsi="Times New Roman" w:cs="Times New Roman"/>
          <w:color w:val="000000"/>
          <w:sz w:val="24"/>
          <w:szCs w:val="24"/>
        </w:rPr>
      </w:pPr>
    </w:p>
    <w:p w14:paraId="70928B67" w14:textId="03934476" w:rsidR="00A03840" w:rsidRPr="00430DAC" w:rsidRDefault="00A03840" w:rsidP="00EE1EFC">
      <w:pPr>
        <w:pStyle w:val="Default"/>
        <w:numPr>
          <w:ilvl w:val="0"/>
          <w:numId w:val="6"/>
        </w:numPr>
        <w:jc w:val="both"/>
        <w:rPr>
          <w:sz w:val="22"/>
          <w:szCs w:val="22"/>
        </w:rPr>
      </w:pPr>
      <w:r w:rsidRPr="00430DAC">
        <w:rPr>
          <w:sz w:val="22"/>
          <w:szCs w:val="22"/>
        </w:rPr>
        <w:t xml:space="preserve">To organize the next </w:t>
      </w:r>
      <w:proofErr w:type="spellStart"/>
      <w:r w:rsidRPr="00430DAC">
        <w:rPr>
          <w:sz w:val="22"/>
          <w:szCs w:val="22"/>
        </w:rPr>
        <w:t>NEAMWave</w:t>
      </w:r>
      <w:proofErr w:type="spellEnd"/>
      <w:r w:rsidRPr="00430DAC">
        <w:rPr>
          <w:sz w:val="22"/>
          <w:szCs w:val="22"/>
        </w:rPr>
        <w:t xml:space="preserve"> exercise in March 2026. The exercise scenarios should be created through collaboration between TSPs and NTWCs, with one or more single or joint scenarios proposed to meet the specific needs of the MS.</w:t>
      </w:r>
    </w:p>
    <w:p w14:paraId="6B8D937C" w14:textId="59130E3C" w:rsidR="00375D09" w:rsidRPr="00430DAC" w:rsidRDefault="00375D09" w:rsidP="00EE1EFC">
      <w:pPr>
        <w:pStyle w:val="Default"/>
        <w:numPr>
          <w:ilvl w:val="0"/>
          <w:numId w:val="6"/>
        </w:numPr>
        <w:jc w:val="both"/>
        <w:rPr>
          <w:sz w:val="22"/>
          <w:szCs w:val="22"/>
        </w:rPr>
      </w:pPr>
      <w:r w:rsidRPr="00430DAC">
        <w:rPr>
          <w:sz w:val="22"/>
          <w:szCs w:val="22"/>
        </w:rPr>
        <w:t>To change the name of the Task Team to “</w:t>
      </w:r>
      <w:proofErr w:type="spellStart"/>
      <w:r w:rsidRPr="00430DAC">
        <w:rPr>
          <w:sz w:val="22"/>
          <w:szCs w:val="22"/>
        </w:rPr>
        <w:t>NEAMWave</w:t>
      </w:r>
      <w:proofErr w:type="spellEnd"/>
      <w:r w:rsidRPr="00430DAC">
        <w:rPr>
          <w:sz w:val="22"/>
          <w:szCs w:val="22"/>
        </w:rPr>
        <w:t xml:space="preserve"> </w:t>
      </w:r>
      <w:r w:rsidR="00430DAC" w:rsidRPr="00430DAC">
        <w:rPr>
          <w:sz w:val="22"/>
          <w:szCs w:val="22"/>
        </w:rPr>
        <w:t>Exercise</w:t>
      </w:r>
      <w:r w:rsidRPr="00430DAC">
        <w:rPr>
          <w:sz w:val="22"/>
          <w:szCs w:val="22"/>
        </w:rPr>
        <w:t>”.</w:t>
      </w:r>
    </w:p>
    <w:sectPr w:rsidR="00375D09" w:rsidRPr="00430DAC" w:rsidSect="00D17308">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9586E"/>
    <w:multiLevelType w:val="hybridMultilevel"/>
    <w:tmpl w:val="1376E22E"/>
    <w:lvl w:ilvl="0" w:tplc="618CA8B0">
      <w:start w:val="4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FF5F2C"/>
    <w:multiLevelType w:val="hybridMultilevel"/>
    <w:tmpl w:val="DFBA99CC"/>
    <w:lvl w:ilvl="0" w:tplc="92CACB14">
      <w:start w:val="1"/>
      <w:numFmt w:val="lowerRoman"/>
      <w:lvlText w:val="%1."/>
      <w:lvlJc w:val="right"/>
      <w:pPr>
        <w:tabs>
          <w:tab w:val="num" w:pos="720"/>
        </w:tabs>
        <w:ind w:left="720" w:hanging="360"/>
      </w:pPr>
    </w:lvl>
    <w:lvl w:ilvl="1" w:tplc="61684B86" w:tentative="1">
      <w:start w:val="1"/>
      <w:numFmt w:val="lowerRoman"/>
      <w:lvlText w:val="%2."/>
      <w:lvlJc w:val="right"/>
      <w:pPr>
        <w:tabs>
          <w:tab w:val="num" w:pos="1440"/>
        </w:tabs>
        <w:ind w:left="1440" w:hanging="360"/>
      </w:pPr>
    </w:lvl>
    <w:lvl w:ilvl="2" w:tplc="A83EC6F4" w:tentative="1">
      <w:start w:val="1"/>
      <w:numFmt w:val="lowerRoman"/>
      <w:lvlText w:val="%3."/>
      <w:lvlJc w:val="right"/>
      <w:pPr>
        <w:tabs>
          <w:tab w:val="num" w:pos="2160"/>
        </w:tabs>
        <w:ind w:left="2160" w:hanging="360"/>
      </w:pPr>
    </w:lvl>
    <w:lvl w:ilvl="3" w:tplc="18DAD276" w:tentative="1">
      <w:start w:val="1"/>
      <w:numFmt w:val="lowerRoman"/>
      <w:lvlText w:val="%4."/>
      <w:lvlJc w:val="right"/>
      <w:pPr>
        <w:tabs>
          <w:tab w:val="num" w:pos="2880"/>
        </w:tabs>
        <w:ind w:left="2880" w:hanging="360"/>
      </w:pPr>
    </w:lvl>
    <w:lvl w:ilvl="4" w:tplc="75C465E4" w:tentative="1">
      <w:start w:val="1"/>
      <w:numFmt w:val="lowerRoman"/>
      <w:lvlText w:val="%5."/>
      <w:lvlJc w:val="right"/>
      <w:pPr>
        <w:tabs>
          <w:tab w:val="num" w:pos="3600"/>
        </w:tabs>
        <w:ind w:left="3600" w:hanging="360"/>
      </w:pPr>
    </w:lvl>
    <w:lvl w:ilvl="5" w:tplc="668A34FE" w:tentative="1">
      <w:start w:val="1"/>
      <w:numFmt w:val="lowerRoman"/>
      <w:lvlText w:val="%6."/>
      <w:lvlJc w:val="right"/>
      <w:pPr>
        <w:tabs>
          <w:tab w:val="num" w:pos="4320"/>
        </w:tabs>
        <w:ind w:left="4320" w:hanging="360"/>
      </w:pPr>
    </w:lvl>
    <w:lvl w:ilvl="6" w:tplc="57024C26" w:tentative="1">
      <w:start w:val="1"/>
      <w:numFmt w:val="lowerRoman"/>
      <w:lvlText w:val="%7."/>
      <w:lvlJc w:val="right"/>
      <w:pPr>
        <w:tabs>
          <w:tab w:val="num" w:pos="5040"/>
        </w:tabs>
        <w:ind w:left="5040" w:hanging="360"/>
      </w:pPr>
    </w:lvl>
    <w:lvl w:ilvl="7" w:tplc="BA5611EC" w:tentative="1">
      <w:start w:val="1"/>
      <w:numFmt w:val="lowerRoman"/>
      <w:lvlText w:val="%8."/>
      <w:lvlJc w:val="right"/>
      <w:pPr>
        <w:tabs>
          <w:tab w:val="num" w:pos="5760"/>
        </w:tabs>
        <w:ind w:left="5760" w:hanging="360"/>
      </w:pPr>
    </w:lvl>
    <w:lvl w:ilvl="8" w:tplc="FDE49A28" w:tentative="1">
      <w:start w:val="1"/>
      <w:numFmt w:val="lowerRoman"/>
      <w:lvlText w:val="%9."/>
      <w:lvlJc w:val="right"/>
      <w:pPr>
        <w:tabs>
          <w:tab w:val="num" w:pos="6480"/>
        </w:tabs>
        <w:ind w:left="6480" w:hanging="360"/>
      </w:pPr>
    </w:lvl>
  </w:abstractNum>
  <w:abstractNum w:abstractNumId="2" w15:restartNumberingAfterBreak="0">
    <w:nsid w:val="3D41360C"/>
    <w:multiLevelType w:val="hybridMultilevel"/>
    <w:tmpl w:val="33F4A162"/>
    <w:lvl w:ilvl="0" w:tplc="AEB856EE">
      <w:start w:val="5"/>
      <w:numFmt w:val="lowerRoman"/>
      <w:lvlText w:val="%1."/>
      <w:lvlJc w:val="right"/>
      <w:pPr>
        <w:tabs>
          <w:tab w:val="num" w:pos="720"/>
        </w:tabs>
        <w:ind w:left="720" w:hanging="360"/>
      </w:pPr>
    </w:lvl>
    <w:lvl w:ilvl="1" w:tplc="70F617DA" w:tentative="1">
      <w:start w:val="1"/>
      <w:numFmt w:val="lowerRoman"/>
      <w:lvlText w:val="%2."/>
      <w:lvlJc w:val="right"/>
      <w:pPr>
        <w:tabs>
          <w:tab w:val="num" w:pos="1440"/>
        </w:tabs>
        <w:ind w:left="1440" w:hanging="360"/>
      </w:pPr>
    </w:lvl>
    <w:lvl w:ilvl="2" w:tplc="7722DB10" w:tentative="1">
      <w:start w:val="1"/>
      <w:numFmt w:val="lowerRoman"/>
      <w:lvlText w:val="%3."/>
      <w:lvlJc w:val="right"/>
      <w:pPr>
        <w:tabs>
          <w:tab w:val="num" w:pos="2160"/>
        </w:tabs>
        <w:ind w:left="2160" w:hanging="360"/>
      </w:pPr>
    </w:lvl>
    <w:lvl w:ilvl="3" w:tplc="858827F8" w:tentative="1">
      <w:start w:val="1"/>
      <w:numFmt w:val="lowerRoman"/>
      <w:lvlText w:val="%4."/>
      <w:lvlJc w:val="right"/>
      <w:pPr>
        <w:tabs>
          <w:tab w:val="num" w:pos="2880"/>
        </w:tabs>
        <w:ind w:left="2880" w:hanging="360"/>
      </w:pPr>
    </w:lvl>
    <w:lvl w:ilvl="4" w:tplc="D73A59D2" w:tentative="1">
      <w:start w:val="1"/>
      <w:numFmt w:val="lowerRoman"/>
      <w:lvlText w:val="%5."/>
      <w:lvlJc w:val="right"/>
      <w:pPr>
        <w:tabs>
          <w:tab w:val="num" w:pos="3600"/>
        </w:tabs>
        <w:ind w:left="3600" w:hanging="360"/>
      </w:pPr>
    </w:lvl>
    <w:lvl w:ilvl="5" w:tplc="2086FF34" w:tentative="1">
      <w:start w:val="1"/>
      <w:numFmt w:val="lowerRoman"/>
      <w:lvlText w:val="%6."/>
      <w:lvlJc w:val="right"/>
      <w:pPr>
        <w:tabs>
          <w:tab w:val="num" w:pos="4320"/>
        </w:tabs>
        <w:ind w:left="4320" w:hanging="360"/>
      </w:pPr>
    </w:lvl>
    <w:lvl w:ilvl="6" w:tplc="23DE4D54" w:tentative="1">
      <w:start w:val="1"/>
      <w:numFmt w:val="lowerRoman"/>
      <w:lvlText w:val="%7."/>
      <w:lvlJc w:val="right"/>
      <w:pPr>
        <w:tabs>
          <w:tab w:val="num" w:pos="5040"/>
        </w:tabs>
        <w:ind w:left="5040" w:hanging="360"/>
      </w:pPr>
    </w:lvl>
    <w:lvl w:ilvl="7" w:tplc="E468F89E" w:tentative="1">
      <w:start w:val="1"/>
      <w:numFmt w:val="lowerRoman"/>
      <w:lvlText w:val="%8."/>
      <w:lvlJc w:val="right"/>
      <w:pPr>
        <w:tabs>
          <w:tab w:val="num" w:pos="5760"/>
        </w:tabs>
        <w:ind w:left="5760" w:hanging="360"/>
      </w:pPr>
    </w:lvl>
    <w:lvl w:ilvl="8" w:tplc="4F70E15A" w:tentative="1">
      <w:start w:val="1"/>
      <w:numFmt w:val="lowerRoman"/>
      <w:lvlText w:val="%9."/>
      <w:lvlJc w:val="right"/>
      <w:pPr>
        <w:tabs>
          <w:tab w:val="num" w:pos="6480"/>
        </w:tabs>
        <w:ind w:left="6480" w:hanging="360"/>
      </w:pPr>
    </w:lvl>
  </w:abstractNum>
  <w:abstractNum w:abstractNumId="3" w15:restartNumberingAfterBreak="0">
    <w:nsid w:val="41E07600"/>
    <w:multiLevelType w:val="hybridMultilevel"/>
    <w:tmpl w:val="3A9CF756"/>
    <w:lvl w:ilvl="0" w:tplc="3E769A48">
      <w:start w:val="8"/>
      <w:numFmt w:val="lowerRoman"/>
      <w:lvlText w:val="%1."/>
      <w:lvlJc w:val="right"/>
      <w:pPr>
        <w:tabs>
          <w:tab w:val="num" w:pos="720"/>
        </w:tabs>
        <w:ind w:left="720" w:hanging="360"/>
      </w:pPr>
    </w:lvl>
    <w:lvl w:ilvl="1" w:tplc="3D5EC574" w:tentative="1">
      <w:start w:val="1"/>
      <w:numFmt w:val="lowerRoman"/>
      <w:lvlText w:val="%2."/>
      <w:lvlJc w:val="right"/>
      <w:pPr>
        <w:tabs>
          <w:tab w:val="num" w:pos="1440"/>
        </w:tabs>
        <w:ind w:left="1440" w:hanging="360"/>
      </w:pPr>
    </w:lvl>
    <w:lvl w:ilvl="2" w:tplc="999806BC" w:tentative="1">
      <w:start w:val="1"/>
      <w:numFmt w:val="lowerRoman"/>
      <w:lvlText w:val="%3."/>
      <w:lvlJc w:val="right"/>
      <w:pPr>
        <w:tabs>
          <w:tab w:val="num" w:pos="2160"/>
        </w:tabs>
        <w:ind w:left="2160" w:hanging="360"/>
      </w:pPr>
    </w:lvl>
    <w:lvl w:ilvl="3" w:tplc="BCEC1D98" w:tentative="1">
      <w:start w:val="1"/>
      <w:numFmt w:val="lowerRoman"/>
      <w:lvlText w:val="%4."/>
      <w:lvlJc w:val="right"/>
      <w:pPr>
        <w:tabs>
          <w:tab w:val="num" w:pos="2880"/>
        </w:tabs>
        <w:ind w:left="2880" w:hanging="360"/>
      </w:pPr>
    </w:lvl>
    <w:lvl w:ilvl="4" w:tplc="B846FE4C" w:tentative="1">
      <w:start w:val="1"/>
      <w:numFmt w:val="lowerRoman"/>
      <w:lvlText w:val="%5."/>
      <w:lvlJc w:val="right"/>
      <w:pPr>
        <w:tabs>
          <w:tab w:val="num" w:pos="3600"/>
        </w:tabs>
        <w:ind w:left="3600" w:hanging="360"/>
      </w:pPr>
    </w:lvl>
    <w:lvl w:ilvl="5" w:tplc="5DAE44C8" w:tentative="1">
      <w:start w:val="1"/>
      <w:numFmt w:val="lowerRoman"/>
      <w:lvlText w:val="%6."/>
      <w:lvlJc w:val="right"/>
      <w:pPr>
        <w:tabs>
          <w:tab w:val="num" w:pos="4320"/>
        </w:tabs>
        <w:ind w:left="4320" w:hanging="360"/>
      </w:pPr>
    </w:lvl>
    <w:lvl w:ilvl="6" w:tplc="281C2010" w:tentative="1">
      <w:start w:val="1"/>
      <w:numFmt w:val="lowerRoman"/>
      <w:lvlText w:val="%7."/>
      <w:lvlJc w:val="right"/>
      <w:pPr>
        <w:tabs>
          <w:tab w:val="num" w:pos="5040"/>
        </w:tabs>
        <w:ind w:left="5040" w:hanging="360"/>
      </w:pPr>
    </w:lvl>
    <w:lvl w:ilvl="7" w:tplc="88CEDA82" w:tentative="1">
      <w:start w:val="1"/>
      <w:numFmt w:val="lowerRoman"/>
      <w:lvlText w:val="%8."/>
      <w:lvlJc w:val="right"/>
      <w:pPr>
        <w:tabs>
          <w:tab w:val="num" w:pos="5760"/>
        </w:tabs>
        <w:ind w:left="5760" w:hanging="360"/>
      </w:pPr>
    </w:lvl>
    <w:lvl w:ilvl="8" w:tplc="3A8EAEBC" w:tentative="1">
      <w:start w:val="1"/>
      <w:numFmt w:val="lowerRoman"/>
      <w:lvlText w:val="%9."/>
      <w:lvlJc w:val="right"/>
      <w:pPr>
        <w:tabs>
          <w:tab w:val="num" w:pos="6480"/>
        </w:tabs>
        <w:ind w:left="6480" w:hanging="360"/>
      </w:pPr>
    </w:lvl>
  </w:abstractNum>
  <w:abstractNum w:abstractNumId="4" w15:restartNumberingAfterBreak="0">
    <w:nsid w:val="4D142D63"/>
    <w:multiLevelType w:val="hybridMultilevel"/>
    <w:tmpl w:val="F54E3E44"/>
    <w:lvl w:ilvl="0" w:tplc="3324742E">
      <w:start w:val="1"/>
      <w:numFmt w:val="lowerRoman"/>
      <w:lvlText w:val="%1."/>
      <w:lvlJc w:val="right"/>
      <w:pPr>
        <w:tabs>
          <w:tab w:val="num" w:pos="720"/>
        </w:tabs>
        <w:ind w:left="720" w:hanging="360"/>
      </w:pPr>
    </w:lvl>
    <w:lvl w:ilvl="1" w:tplc="8280E50C" w:tentative="1">
      <w:start w:val="1"/>
      <w:numFmt w:val="lowerRoman"/>
      <w:lvlText w:val="%2."/>
      <w:lvlJc w:val="right"/>
      <w:pPr>
        <w:tabs>
          <w:tab w:val="num" w:pos="1440"/>
        </w:tabs>
        <w:ind w:left="1440" w:hanging="360"/>
      </w:pPr>
    </w:lvl>
    <w:lvl w:ilvl="2" w:tplc="808873E4" w:tentative="1">
      <w:start w:val="1"/>
      <w:numFmt w:val="lowerRoman"/>
      <w:lvlText w:val="%3."/>
      <w:lvlJc w:val="right"/>
      <w:pPr>
        <w:tabs>
          <w:tab w:val="num" w:pos="2160"/>
        </w:tabs>
        <w:ind w:left="2160" w:hanging="360"/>
      </w:pPr>
    </w:lvl>
    <w:lvl w:ilvl="3" w:tplc="8ED029D2" w:tentative="1">
      <w:start w:val="1"/>
      <w:numFmt w:val="lowerRoman"/>
      <w:lvlText w:val="%4."/>
      <w:lvlJc w:val="right"/>
      <w:pPr>
        <w:tabs>
          <w:tab w:val="num" w:pos="2880"/>
        </w:tabs>
        <w:ind w:left="2880" w:hanging="360"/>
      </w:pPr>
    </w:lvl>
    <w:lvl w:ilvl="4" w:tplc="CB2CFDB4" w:tentative="1">
      <w:start w:val="1"/>
      <w:numFmt w:val="lowerRoman"/>
      <w:lvlText w:val="%5."/>
      <w:lvlJc w:val="right"/>
      <w:pPr>
        <w:tabs>
          <w:tab w:val="num" w:pos="3600"/>
        </w:tabs>
        <w:ind w:left="3600" w:hanging="360"/>
      </w:pPr>
    </w:lvl>
    <w:lvl w:ilvl="5" w:tplc="6CB617CA" w:tentative="1">
      <w:start w:val="1"/>
      <w:numFmt w:val="lowerRoman"/>
      <w:lvlText w:val="%6."/>
      <w:lvlJc w:val="right"/>
      <w:pPr>
        <w:tabs>
          <w:tab w:val="num" w:pos="4320"/>
        </w:tabs>
        <w:ind w:left="4320" w:hanging="360"/>
      </w:pPr>
    </w:lvl>
    <w:lvl w:ilvl="6" w:tplc="05284F72" w:tentative="1">
      <w:start w:val="1"/>
      <w:numFmt w:val="lowerRoman"/>
      <w:lvlText w:val="%7."/>
      <w:lvlJc w:val="right"/>
      <w:pPr>
        <w:tabs>
          <w:tab w:val="num" w:pos="5040"/>
        </w:tabs>
        <w:ind w:left="5040" w:hanging="360"/>
      </w:pPr>
    </w:lvl>
    <w:lvl w:ilvl="7" w:tplc="49CC9748" w:tentative="1">
      <w:start w:val="1"/>
      <w:numFmt w:val="lowerRoman"/>
      <w:lvlText w:val="%8."/>
      <w:lvlJc w:val="right"/>
      <w:pPr>
        <w:tabs>
          <w:tab w:val="num" w:pos="5760"/>
        </w:tabs>
        <w:ind w:left="5760" w:hanging="360"/>
      </w:pPr>
    </w:lvl>
    <w:lvl w:ilvl="8" w:tplc="38E40356" w:tentative="1">
      <w:start w:val="1"/>
      <w:numFmt w:val="lowerRoman"/>
      <w:lvlText w:val="%9."/>
      <w:lvlJc w:val="right"/>
      <w:pPr>
        <w:tabs>
          <w:tab w:val="num" w:pos="6480"/>
        </w:tabs>
        <w:ind w:left="6480" w:hanging="360"/>
      </w:pPr>
    </w:lvl>
  </w:abstractNum>
  <w:abstractNum w:abstractNumId="5" w15:restartNumberingAfterBreak="0">
    <w:nsid w:val="52803762"/>
    <w:multiLevelType w:val="hybridMultilevel"/>
    <w:tmpl w:val="E6A4CA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424045">
    <w:abstractNumId w:val="5"/>
  </w:num>
  <w:num w:numId="2" w16cid:durableId="2008165606">
    <w:abstractNumId w:val="1"/>
  </w:num>
  <w:num w:numId="3" w16cid:durableId="10420675">
    <w:abstractNumId w:val="3"/>
  </w:num>
  <w:num w:numId="4" w16cid:durableId="814294648">
    <w:abstractNumId w:val="4"/>
  </w:num>
  <w:num w:numId="5" w16cid:durableId="2031448556">
    <w:abstractNumId w:val="2"/>
  </w:num>
  <w:num w:numId="6" w16cid:durableId="1911889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8F"/>
    <w:rsid w:val="00185413"/>
    <w:rsid w:val="001929E2"/>
    <w:rsid w:val="00204B06"/>
    <w:rsid w:val="002258D4"/>
    <w:rsid w:val="00236CB5"/>
    <w:rsid w:val="00240588"/>
    <w:rsid w:val="002C7BED"/>
    <w:rsid w:val="002D73BE"/>
    <w:rsid w:val="00305B6B"/>
    <w:rsid w:val="00375D09"/>
    <w:rsid w:val="00430DAC"/>
    <w:rsid w:val="0044133B"/>
    <w:rsid w:val="005048F3"/>
    <w:rsid w:val="005208B2"/>
    <w:rsid w:val="00556642"/>
    <w:rsid w:val="005671FF"/>
    <w:rsid w:val="0058146F"/>
    <w:rsid w:val="00593EE4"/>
    <w:rsid w:val="005A20FE"/>
    <w:rsid w:val="00641B7B"/>
    <w:rsid w:val="006554BD"/>
    <w:rsid w:val="006624B6"/>
    <w:rsid w:val="006660E8"/>
    <w:rsid w:val="007936B3"/>
    <w:rsid w:val="00812BF4"/>
    <w:rsid w:val="00863A9B"/>
    <w:rsid w:val="00863D6F"/>
    <w:rsid w:val="008A2932"/>
    <w:rsid w:val="008A43E1"/>
    <w:rsid w:val="008D249C"/>
    <w:rsid w:val="0092594B"/>
    <w:rsid w:val="00933790"/>
    <w:rsid w:val="009C5903"/>
    <w:rsid w:val="00A03840"/>
    <w:rsid w:val="00A272CE"/>
    <w:rsid w:val="00A44B73"/>
    <w:rsid w:val="00A515FB"/>
    <w:rsid w:val="00A52326"/>
    <w:rsid w:val="00A7008F"/>
    <w:rsid w:val="00B47B93"/>
    <w:rsid w:val="00BB086B"/>
    <w:rsid w:val="00C14D74"/>
    <w:rsid w:val="00C67F44"/>
    <w:rsid w:val="00CA670B"/>
    <w:rsid w:val="00CE5533"/>
    <w:rsid w:val="00CF1738"/>
    <w:rsid w:val="00D17308"/>
    <w:rsid w:val="00D92DA8"/>
    <w:rsid w:val="00DC3F0A"/>
    <w:rsid w:val="00DD2F95"/>
    <w:rsid w:val="00DD401D"/>
    <w:rsid w:val="00EE1EFC"/>
    <w:rsid w:val="00F0224E"/>
    <w:rsid w:val="00FC08B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A371"/>
  <w15:docId w15:val="{65EF5873-1488-4157-B704-6925EF09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6F"/>
    <w:pPr>
      <w:ind w:left="720"/>
      <w:contextualSpacing/>
    </w:pPr>
  </w:style>
  <w:style w:type="character" w:styleId="CommentReference">
    <w:name w:val="annotation reference"/>
    <w:basedOn w:val="DefaultParagraphFont"/>
    <w:uiPriority w:val="99"/>
    <w:semiHidden/>
    <w:unhideWhenUsed/>
    <w:rsid w:val="00DC3F0A"/>
    <w:rPr>
      <w:sz w:val="16"/>
      <w:szCs w:val="16"/>
    </w:rPr>
  </w:style>
  <w:style w:type="paragraph" w:styleId="CommentText">
    <w:name w:val="annotation text"/>
    <w:basedOn w:val="Normal"/>
    <w:link w:val="CommentTextChar"/>
    <w:uiPriority w:val="99"/>
    <w:semiHidden/>
    <w:unhideWhenUsed/>
    <w:rsid w:val="00DC3F0A"/>
    <w:pPr>
      <w:spacing w:line="240" w:lineRule="auto"/>
    </w:pPr>
    <w:rPr>
      <w:sz w:val="20"/>
      <w:szCs w:val="20"/>
    </w:rPr>
  </w:style>
  <w:style w:type="character" w:customStyle="1" w:styleId="CommentTextChar">
    <w:name w:val="Comment Text Char"/>
    <w:basedOn w:val="DefaultParagraphFont"/>
    <w:link w:val="CommentText"/>
    <w:uiPriority w:val="99"/>
    <w:semiHidden/>
    <w:rsid w:val="00DC3F0A"/>
    <w:rPr>
      <w:sz w:val="20"/>
      <w:szCs w:val="20"/>
    </w:rPr>
  </w:style>
  <w:style w:type="paragraph" w:styleId="CommentSubject">
    <w:name w:val="annotation subject"/>
    <w:basedOn w:val="CommentText"/>
    <w:next w:val="CommentText"/>
    <w:link w:val="CommentSubjectChar"/>
    <w:uiPriority w:val="99"/>
    <w:semiHidden/>
    <w:unhideWhenUsed/>
    <w:rsid w:val="00DC3F0A"/>
    <w:rPr>
      <w:b/>
      <w:bCs/>
    </w:rPr>
  </w:style>
  <w:style w:type="character" w:customStyle="1" w:styleId="CommentSubjectChar">
    <w:name w:val="Comment Subject Char"/>
    <w:basedOn w:val="CommentTextChar"/>
    <w:link w:val="CommentSubject"/>
    <w:uiPriority w:val="99"/>
    <w:semiHidden/>
    <w:rsid w:val="00DC3F0A"/>
    <w:rPr>
      <w:b/>
      <w:bCs/>
      <w:sz w:val="20"/>
      <w:szCs w:val="20"/>
    </w:rPr>
  </w:style>
  <w:style w:type="paragraph" w:styleId="BalloonText">
    <w:name w:val="Balloon Text"/>
    <w:basedOn w:val="Normal"/>
    <w:link w:val="BalloonTextChar"/>
    <w:uiPriority w:val="99"/>
    <w:semiHidden/>
    <w:unhideWhenUsed/>
    <w:rsid w:val="00662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4B6"/>
    <w:rPr>
      <w:rFonts w:ascii="Tahoma" w:hAnsi="Tahoma" w:cs="Tahoma"/>
      <w:sz w:val="16"/>
      <w:szCs w:val="16"/>
    </w:rPr>
  </w:style>
  <w:style w:type="paragraph" w:customStyle="1" w:styleId="Default">
    <w:name w:val="Default"/>
    <w:rsid w:val="005671F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41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2013">
      <w:bodyDiv w:val="1"/>
      <w:marLeft w:val="0"/>
      <w:marRight w:val="0"/>
      <w:marTop w:val="0"/>
      <w:marBottom w:val="0"/>
      <w:divBdr>
        <w:top w:val="none" w:sz="0" w:space="0" w:color="auto"/>
        <w:left w:val="none" w:sz="0" w:space="0" w:color="auto"/>
        <w:bottom w:val="none" w:sz="0" w:space="0" w:color="auto"/>
        <w:right w:val="none" w:sz="0" w:space="0" w:color="auto"/>
      </w:divBdr>
      <w:divsChild>
        <w:div w:id="1978992447">
          <w:marLeft w:val="634"/>
          <w:marRight w:val="0"/>
          <w:marTop w:val="0"/>
          <w:marBottom w:val="120"/>
          <w:divBdr>
            <w:top w:val="none" w:sz="0" w:space="0" w:color="auto"/>
            <w:left w:val="none" w:sz="0" w:space="0" w:color="auto"/>
            <w:bottom w:val="none" w:sz="0" w:space="0" w:color="auto"/>
            <w:right w:val="none" w:sz="0" w:space="0" w:color="auto"/>
          </w:divBdr>
        </w:div>
        <w:div w:id="861631268">
          <w:marLeft w:val="634"/>
          <w:marRight w:val="0"/>
          <w:marTop w:val="0"/>
          <w:marBottom w:val="120"/>
          <w:divBdr>
            <w:top w:val="none" w:sz="0" w:space="0" w:color="auto"/>
            <w:left w:val="none" w:sz="0" w:space="0" w:color="auto"/>
            <w:bottom w:val="none" w:sz="0" w:space="0" w:color="auto"/>
            <w:right w:val="none" w:sz="0" w:space="0" w:color="auto"/>
          </w:divBdr>
        </w:div>
        <w:div w:id="734357251">
          <w:marLeft w:val="634"/>
          <w:marRight w:val="0"/>
          <w:marTop w:val="0"/>
          <w:marBottom w:val="120"/>
          <w:divBdr>
            <w:top w:val="none" w:sz="0" w:space="0" w:color="auto"/>
            <w:left w:val="none" w:sz="0" w:space="0" w:color="auto"/>
            <w:bottom w:val="none" w:sz="0" w:space="0" w:color="auto"/>
            <w:right w:val="none" w:sz="0" w:space="0" w:color="auto"/>
          </w:divBdr>
        </w:div>
        <w:div w:id="38864101">
          <w:marLeft w:val="634"/>
          <w:marRight w:val="0"/>
          <w:marTop w:val="0"/>
          <w:marBottom w:val="120"/>
          <w:divBdr>
            <w:top w:val="none" w:sz="0" w:space="0" w:color="auto"/>
            <w:left w:val="none" w:sz="0" w:space="0" w:color="auto"/>
            <w:bottom w:val="none" w:sz="0" w:space="0" w:color="auto"/>
            <w:right w:val="none" w:sz="0" w:space="0" w:color="auto"/>
          </w:divBdr>
        </w:div>
        <w:div w:id="1130048801">
          <w:marLeft w:val="634"/>
          <w:marRight w:val="0"/>
          <w:marTop w:val="0"/>
          <w:marBottom w:val="120"/>
          <w:divBdr>
            <w:top w:val="none" w:sz="0" w:space="0" w:color="auto"/>
            <w:left w:val="none" w:sz="0" w:space="0" w:color="auto"/>
            <w:bottom w:val="none" w:sz="0" w:space="0" w:color="auto"/>
            <w:right w:val="none" w:sz="0" w:space="0" w:color="auto"/>
          </w:divBdr>
        </w:div>
        <w:div w:id="2036274311">
          <w:marLeft w:val="634"/>
          <w:marRight w:val="0"/>
          <w:marTop w:val="0"/>
          <w:marBottom w:val="120"/>
          <w:divBdr>
            <w:top w:val="none" w:sz="0" w:space="0" w:color="auto"/>
            <w:left w:val="none" w:sz="0" w:space="0" w:color="auto"/>
            <w:bottom w:val="none" w:sz="0" w:space="0" w:color="auto"/>
            <w:right w:val="none" w:sz="0" w:space="0" w:color="auto"/>
          </w:divBdr>
        </w:div>
        <w:div w:id="535626278">
          <w:marLeft w:val="634"/>
          <w:marRight w:val="0"/>
          <w:marTop w:val="0"/>
          <w:marBottom w:val="120"/>
          <w:divBdr>
            <w:top w:val="none" w:sz="0" w:space="0" w:color="auto"/>
            <w:left w:val="none" w:sz="0" w:space="0" w:color="auto"/>
            <w:bottom w:val="none" w:sz="0" w:space="0" w:color="auto"/>
            <w:right w:val="none" w:sz="0" w:space="0" w:color="auto"/>
          </w:divBdr>
        </w:div>
      </w:divsChild>
    </w:div>
    <w:div w:id="65107993">
      <w:bodyDiv w:val="1"/>
      <w:marLeft w:val="0"/>
      <w:marRight w:val="0"/>
      <w:marTop w:val="0"/>
      <w:marBottom w:val="0"/>
      <w:divBdr>
        <w:top w:val="none" w:sz="0" w:space="0" w:color="auto"/>
        <w:left w:val="none" w:sz="0" w:space="0" w:color="auto"/>
        <w:bottom w:val="none" w:sz="0" w:space="0" w:color="auto"/>
        <w:right w:val="none" w:sz="0" w:space="0" w:color="auto"/>
      </w:divBdr>
    </w:div>
    <w:div w:id="625241667">
      <w:bodyDiv w:val="1"/>
      <w:marLeft w:val="0"/>
      <w:marRight w:val="0"/>
      <w:marTop w:val="0"/>
      <w:marBottom w:val="0"/>
      <w:divBdr>
        <w:top w:val="none" w:sz="0" w:space="0" w:color="auto"/>
        <w:left w:val="none" w:sz="0" w:space="0" w:color="auto"/>
        <w:bottom w:val="none" w:sz="0" w:space="0" w:color="auto"/>
        <w:right w:val="none" w:sz="0" w:space="0" w:color="auto"/>
      </w:divBdr>
    </w:div>
    <w:div w:id="735976308">
      <w:bodyDiv w:val="1"/>
      <w:marLeft w:val="0"/>
      <w:marRight w:val="0"/>
      <w:marTop w:val="0"/>
      <w:marBottom w:val="0"/>
      <w:divBdr>
        <w:top w:val="none" w:sz="0" w:space="0" w:color="auto"/>
        <w:left w:val="none" w:sz="0" w:space="0" w:color="auto"/>
        <w:bottom w:val="none" w:sz="0" w:space="0" w:color="auto"/>
        <w:right w:val="none" w:sz="0" w:space="0" w:color="auto"/>
      </w:divBdr>
    </w:div>
    <w:div w:id="888613799">
      <w:bodyDiv w:val="1"/>
      <w:marLeft w:val="0"/>
      <w:marRight w:val="0"/>
      <w:marTop w:val="0"/>
      <w:marBottom w:val="0"/>
      <w:divBdr>
        <w:top w:val="none" w:sz="0" w:space="0" w:color="auto"/>
        <w:left w:val="none" w:sz="0" w:space="0" w:color="auto"/>
        <w:bottom w:val="none" w:sz="0" w:space="0" w:color="auto"/>
        <w:right w:val="none" w:sz="0" w:space="0" w:color="auto"/>
      </w:divBdr>
    </w:div>
    <w:div w:id="966932226">
      <w:bodyDiv w:val="1"/>
      <w:marLeft w:val="0"/>
      <w:marRight w:val="0"/>
      <w:marTop w:val="0"/>
      <w:marBottom w:val="0"/>
      <w:divBdr>
        <w:top w:val="none" w:sz="0" w:space="0" w:color="auto"/>
        <w:left w:val="none" w:sz="0" w:space="0" w:color="auto"/>
        <w:bottom w:val="none" w:sz="0" w:space="0" w:color="auto"/>
        <w:right w:val="none" w:sz="0" w:space="0" w:color="auto"/>
      </w:divBdr>
    </w:div>
    <w:div w:id="1138306641">
      <w:bodyDiv w:val="1"/>
      <w:marLeft w:val="0"/>
      <w:marRight w:val="0"/>
      <w:marTop w:val="0"/>
      <w:marBottom w:val="0"/>
      <w:divBdr>
        <w:top w:val="none" w:sz="0" w:space="0" w:color="auto"/>
        <w:left w:val="none" w:sz="0" w:space="0" w:color="auto"/>
        <w:bottom w:val="none" w:sz="0" w:space="0" w:color="auto"/>
        <w:right w:val="none" w:sz="0" w:space="0" w:color="auto"/>
      </w:divBdr>
    </w:div>
    <w:div w:id="13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604922867">
          <w:marLeft w:val="547"/>
          <w:marRight w:val="0"/>
          <w:marTop w:val="0"/>
          <w:marBottom w:val="0"/>
          <w:divBdr>
            <w:top w:val="none" w:sz="0" w:space="0" w:color="auto"/>
            <w:left w:val="none" w:sz="0" w:space="0" w:color="auto"/>
            <w:bottom w:val="none" w:sz="0" w:space="0" w:color="auto"/>
            <w:right w:val="none" w:sz="0" w:space="0" w:color="auto"/>
          </w:divBdr>
        </w:div>
        <w:div w:id="1676574702">
          <w:marLeft w:val="547"/>
          <w:marRight w:val="0"/>
          <w:marTop w:val="0"/>
          <w:marBottom w:val="0"/>
          <w:divBdr>
            <w:top w:val="none" w:sz="0" w:space="0" w:color="auto"/>
            <w:left w:val="none" w:sz="0" w:space="0" w:color="auto"/>
            <w:bottom w:val="none" w:sz="0" w:space="0" w:color="auto"/>
            <w:right w:val="none" w:sz="0" w:space="0" w:color="auto"/>
          </w:divBdr>
        </w:div>
        <w:div w:id="1088650972">
          <w:marLeft w:val="547"/>
          <w:marRight w:val="0"/>
          <w:marTop w:val="0"/>
          <w:marBottom w:val="0"/>
          <w:divBdr>
            <w:top w:val="none" w:sz="0" w:space="0" w:color="auto"/>
            <w:left w:val="none" w:sz="0" w:space="0" w:color="auto"/>
            <w:bottom w:val="none" w:sz="0" w:space="0" w:color="auto"/>
            <w:right w:val="none" w:sz="0" w:space="0" w:color="auto"/>
          </w:divBdr>
        </w:div>
        <w:div w:id="1904438418">
          <w:marLeft w:val="547"/>
          <w:marRight w:val="0"/>
          <w:marTop w:val="0"/>
          <w:marBottom w:val="0"/>
          <w:divBdr>
            <w:top w:val="none" w:sz="0" w:space="0" w:color="auto"/>
            <w:left w:val="none" w:sz="0" w:space="0" w:color="auto"/>
            <w:bottom w:val="none" w:sz="0" w:space="0" w:color="auto"/>
            <w:right w:val="none" w:sz="0" w:space="0" w:color="auto"/>
          </w:divBdr>
        </w:div>
      </w:divsChild>
    </w:div>
    <w:div w:id="1474592181">
      <w:bodyDiv w:val="1"/>
      <w:marLeft w:val="0"/>
      <w:marRight w:val="0"/>
      <w:marTop w:val="0"/>
      <w:marBottom w:val="0"/>
      <w:divBdr>
        <w:top w:val="none" w:sz="0" w:space="0" w:color="auto"/>
        <w:left w:val="none" w:sz="0" w:space="0" w:color="auto"/>
        <w:bottom w:val="none" w:sz="0" w:space="0" w:color="auto"/>
        <w:right w:val="none" w:sz="0" w:space="0" w:color="auto"/>
      </w:divBdr>
    </w:div>
    <w:div w:id="1539587577">
      <w:bodyDiv w:val="1"/>
      <w:marLeft w:val="0"/>
      <w:marRight w:val="0"/>
      <w:marTop w:val="0"/>
      <w:marBottom w:val="0"/>
      <w:divBdr>
        <w:top w:val="none" w:sz="0" w:space="0" w:color="auto"/>
        <w:left w:val="none" w:sz="0" w:space="0" w:color="auto"/>
        <w:bottom w:val="none" w:sz="0" w:space="0" w:color="auto"/>
        <w:right w:val="none" w:sz="0" w:space="0" w:color="auto"/>
      </w:divBdr>
      <w:divsChild>
        <w:div w:id="2081445262">
          <w:marLeft w:val="634"/>
          <w:marRight w:val="0"/>
          <w:marTop w:val="0"/>
          <w:marBottom w:val="120"/>
          <w:divBdr>
            <w:top w:val="none" w:sz="0" w:space="0" w:color="auto"/>
            <w:left w:val="none" w:sz="0" w:space="0" w:color="auto"/>
            <w:bottom w:val="none" w:sz="0" w:space="0" w:color="auto"/>
            <w:right w:val="none" w:sz="0" w:space="0" w:color="auto"/>
          </w:divBdr>
        </w:div>
        <w:div w:id="787050071">
          <w:marLeft w:val="634"/>
          <w:marRight w:val="0"/>
          <w:marTop w:val="0"/>
          <w:marBottom w:val="120"/>
          <w:divBdr>
            <w:top w:val="none" w:sz="0" w:space="0" w:color="auto"/>
            <w:left w:val="none" w:sz="0" w:space="0" w:color="auto"/>
            <w:bottom w:val="none" w:sz="0" w:space="0" w:color="auto"/>
            <w:right w:val="none" w:sz="0" w:space="0" w:color="auto"/>
          </w:divBdr>
        </w:div>
        <w:div w:id="173493690">
          <w:marLeft w:val="634"/>
          <w:marRight w:val="0"/>
          <w:marTop w:val="0"/>
          <w:marBottom w:val="120"/>
          <w:divBdr>
            <w:top w:val="none" w:sz="0" w:space="0" w:color="auto"/>
            <w:left w:val="none" w:sz="0" w:space="0" w:color="auto"/>
            <w:bottom w:val="none" w:sz="0" w:space="0" w:color="auto"/>
            <w:right w:val="none" w:sz="0" w:space="0" w:color="auto"/>
          </w:divBdr>
        </w:div>
        <w:div w:id="1794325543">
          <w:marLeft w:val="634"/>
          <w:marRight w:val="0"/>
          <w:marTop w:val="0"/>
          <w:marBottom w:val="120"/>
          <w:divBdr>
            <w:top w:val="none" w:sz="0" w:space="0" w:color="auto"/>
            <w:left w:val="none" w:sz="0" w:space="0" w:color="auto"/>
            <w:bottom w:val="none" w:sz="0" w:space="0" w:color="auto"/>
            <w:right w:val="none" w:sz="0" w:space="0" w:color="auto"/>
          </w:divBdr>
        </w:div>
        <w:div w:id="196285217">
          <w:marLeft w:val="634"/>
          <w:marRight w:val="0"/>
          <w:marTop w:val="0"/>
          <w:marBottom w:val="120"/>
          <w:divBdr>
            <w:top w:val="none" w:sz="0" w:space="0" w:color="auto"/>
            <w:left w:val="none" w:sz="0" w:space="0" w:color="auto"/>
            <w:bottom w:val="none" w:sz="0" w:space="0" w:color="auto"/>
            <w:right w:val="none" w:sz="0" w:space="0" w:color="auto"/>
          </w:divBdr>
        </w:div>
      </w:divsChild>
    </w:div>
    <w:div w:id="1658998625">
      <w:bodyDiv w:val="1"/>
      <w:marLeft w:val="0"/>
      <w:marRight w:val="0"/>
      <w:marTop w:val="0"/>
      <w:marBottom w:val="0"/>
      <w:divBdr>
        <w:top w:val="none" w:sz="0" w:space="0" w:color="auto"/>
        <w:left w:val="none" w:sz="0" w:space="0" w:color="auto"/>
        <w:bottom w:val="none" w:sz="0" w:space="0" w:color="auto"/>
        <w:right w:val="none" w:sz="0" w:space="0" w:color="auto"/>
      </w:divBdr>
      <w:divsChild>
        <w:div w:id="32973430">
          <w:marLeft w:val="634"/>
          <w:marRight w:val="0"/>
          <w:marTop w:val="0"/>
          <w:marBottom w:val="0"/>
          <w:divBdr>
            <w:top w:val="none" w:sz="0" w:space="0" w:color="auto"/>
            <w:left w:val="none" w:sz="0" w:space="0" w:color="auto"/>
            <w:bottom w:val="none" w:sz="0" w:space="0" w:color="auto"/>
            <w:right w:val="none" w:sz="0" w:space="0" w:color="auto"/>
          </w:divBdr>
        </w:div>
        <w:div w:id="1283614170">
          <w:marLeft w:val="634"/>
          <w:marRight w:val="0"/>
          <w:marTop w:val="0"/>
          <w:marBottom w:val="0"/>
          <w:divBdr>
            <w:top w:val="none" w:sz="0" w:space="0" w:color="auto"/>
            <w:left w:val="none" w:sz="0" w:space="0" w:color="auto"/>
            <w:bottom w:val="none" w:sz="0" w:space="0" w:color="auto"/>
            <w:right w:val="none" w:sz="0" w:space="0" w:color="auto"/>
          </w:divBdr>
        </w:div>
        <w:div w:id="1670208561">
          <w:marLeft w:val="634"/>
          <w:marRight w:val="0"/>
          <w:marTop w:val="0"/>
          <w:marBottom w:val="0"/>
          <w:divBdr>
            <w:top w:val="none" w:sz="0" w:space="0" w:color="auto"/>
            <w:left w:val="none" w:sz="0" w:space="0" w:color="auto"/>
            <w:bottom w:val="none" w:sz="0" w:space="0" w:color="auto"/>
            <w:right w:val="none" w:sz="0" w:space="0" w:color="auto"/>
          </w:divBdr>
        </w:div>
        <w:div w:id="706176573">
          <w:marLeft w:val="634"/>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Medusa</dc:creator>
  <cp:lastModifiedBy>Marinos Charalampakis</cp:lastModifiedBy>
  <cp:revision>6</cp:revision>
  <dcterms:created xsi:type="dcterms:W3CDTF">2024-11-28T23:38:00Z</dcterms:created>
  <dcterms:modified xsi:type="dcterms:W3CDTF">2024-11-29T08:06:00Z</dcterms:modified>
</cp:coreProperties>
</file>