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05FA" w14:textId="58381F89" w:rsidR="0075150A" w:rsidRPr="00807282" w:rsidRDefault="00000000" w:rsidP="00337A8A">
      <w:pPr>
        <w:pStyle w:val="Heading1"/>
        <w:spacing w:before="0" w:after="0"/>
        <w:jc w:val="right"/>
        <w:rPr>
          <w:sz w:val="22"/>
          <w:szCs w:val="22"/>
          <w:lang w:val="en-GB"/>
        </w:rPr>
      </w:pPr>
      <w:r w:rsidRPr="00807282">
        <w:rPr>
          <w:sz w:val="22"/>
          <w:szCs w:val="22"/>
          <w:lang w:val="en-GB"/>
        </w:rPr>
        <w:t xml:space="preserve">Limited distribution                                     </w:t>
      </w:r>
      <w:r w:rsidRPr="00807282">
        <w:rPr>
          <w:sz w:val="22"/>
          <w:szCs w:val="22"/>
          <w:lang w:val="en-GB"/>
        </w:rPr>
        <w:tab/>
        <w:t xml:space="preserve">                                </w:t>
      </w:r>
      <w:r w:rsidRPr="00807282">
        <w:rPr>
          <w:sz w:val="22"/>
          <w:szCs w:val="22"/>
          <w:lang w:val="en-GB"/>
        </w:rPr>
        <w:tab/>
      </w:r>
      <w:r w:rsidR="00337A8A" w:rsidRPr="00807282">
        <w:rPr>
          <w:sz w:val="22"/>
          <w:szCs w:val="22"/>
          <w:lang w:val="en-GB"/>
        </w:rPr>
        <w:t>IOC/IODE-28/</w:t>
      </w:r>
      <w:r w:rsidR="00173AA4" w:rsidRPr="00807282">
        <w:rPr>
          <w:sz w:val="22"/>
          <w:szCs w:val="22"/>
          <w:lang w:val="en-GB"/>
        </w:rPr>
        <w:t>3.4.2.7</w:t>
      </w:r>
    </w:p>
    <w:p w14:paraId="496F3823" w14:textId="5BF5DBEF" w:rsidR="0075150A" w:rsidRPr="00807282" w:rsidRDefault="00000000">
      <w:pPr>
        <w:jc w:val="right"/>
        <w:rPr>
          <w:lang w:val="en-GB"/>
        </w:rPr>
      </w:pPr>
      <w:r w:rsidRPr="00807282">
        <w:rPr>
          <w:lang w:val="en-GB"/>
        </w:rPr>
        <w:t xml:space="preserve">Oostende, </w:t>
      </w:r>
      <w:r w:rsidR="00597F70">
        <w:rPr>
          <w:lang w:val="en-GB"/>
        </w:rPr>
        <w:t>23 January 2025</w:t>
      </w:r>
    </w:p>
    <w:p w14:paraId="4AC97B58" w14:textId="77777777" w:rsidR="0075150A" w:rsidRPr="00807282" w:rsidRDefault="00000000">
      <w:pPr>
        <w:jc w:val="right"/>
        <w:rPr>
          <w:lang w:val="en-GB"/>
        </w:rPr>
      </w:pPr>
      <w:r w:rsidRPr="00807282">
        <w:rPr>
          <w:lang w:val="en-GB"/>
        </w:rPr>
        <w:t>Original: English</w:t>
      </w:r>
    </w:p>
    <w:p w14:paraId="2E8DB6A3" w14:textId="77777777" w:rsidR="0075150A" w:rsidRPr="00807282" w:rsidRDefault="00000000">
      <w:pPr>
        <w:pStyle w:val="Heading1"/>
        <w:spacing w:before="120" w:after="0"/>
        <w:jc w:val="center"/>
        <w:rPr>
          <w:b/>
          <w:sz w:val="22"/>
          <w:szCs w:val="22"/>
          <w:lang w:val="en-GB"/>
        </w:rPr>
      </w:pPr>
      <w:r w:rsidRPr="00807282">
        <w:rPr>
          <w:b/>
          <w:sz w:val="22"/>
          <w:szCs w:val="22"/>
          <w:lang w:val="en-GB"/>
        </w:rPr>
        <w:t xml:space="preserve"> </w:t>
      </w:r>
    </w:p>
    <w:p w14:paraId="0DA452A0" w14:textId="77777777" w:rsidR="0075150A" w:rsidRPr="00807282" w:rsidRDefault="00000000">
      <w:pPr>
        <w:pStyle w:val="Heading1"/>
        <w:spacing w:before="120" w:after="0"/>
        <w:jc w:val="center"/>
        <w:rPr>
          <w:b/>
          <w:sz w:val="22"/>
          <w:szCs w:val="22"/>
          <w:lang w:val="en-GB"/>
        </w:rPr>
      </w:pPr>
      <w:r w:rsidRPr="00807282">
        <w:rPr>
          <w:b/>
          <w:sz w:val="22"/>
          <w:szCs w:val="22"/>
          <w:lang w:val="en-GB"/>
        </w:rPr>
        <w:t xml:space="preserve"> </w:t>
      </w:r>
    </w:p>
    <w:p w14:paraId="74027B92" w14:textId="77777777" w:rsidR="0075150A" w:rsidRPr="00807282" w:rsidRDefault="00000000">
      <w:pPr>
        <w:pStyle w:val="Heading1"/>
        <w:spacing w:before="120" w:after="0"/>
        <w:jc w:val="center"/>
        <w:rPr>
          <w:b/>
          <w:sz w:val="22"/>
          <w:szCs w:val="22"/>
          <w:lang w:val="en-GB"/>
        </w:rPr>
      </w:pPr>
      <w:r w:rsidRPr="00807282">
        <w:rPr>
          <w:b/>
          <w:sz w:val="22"/>
          <w:szCs w:val="22"/>
          <w:lang w:val="en-GB"/>
        </w:rPr>
        <w:t>INTERGOVERNMENTAL OCEANOGRAPHIC COMMISSION</w:t>
      </w:r>
    </w:p>
    <w:p w14:paraId="1E4B79C4" w14:textId="77777777" w:rsidR="0075150A" w:rsidRPr="00807282" w:rsidRDefault="00000000">
      <w:pPr>
        <w:pStyle w:val="Heading1"/>
        <w:spacing w:before="120" w:after="0"/>
        <w:jc w:val="center"/>
        <w:rPr>
          <w:b/>
          <w:sz w:val="22"/>
          <w:szCs w:val="22"/>
          <w:lang w:val="en-GB"/>
        </w:rPr>
      </w:pPr>
      <w:r w:rsidRPr="00807282">
        <w:rPr>
          <w:b/>
          <w:sz w:val="22"/>
          <w:szCs w:val="22"/>
          <w:lang w:val="en-GB"/>
        </w:rPr>
        <w:t>(of UNESCO)</w:t>
      </w:r>
    </w:p>
    <w:p w14:paraId="508B1311" w14:textId="77777777" w:rsidR="0075150A" w:rsidRPr="00807282" w:rsidRDefault="00000000">
      <w:pPr>
        <w:pStyle w:val="Heading1"/>
        <w:spacing w:before="120" w:after="0"/>
        <w:jc w:val="center"/>
        <w:rPr>
          <w:b/>
          <w:sz w:val="22"/>
          <w:szCs w:val="22"/>
          <w:lang w:val="en-GB"/>
        </w:rPr>
      </w:pPr>
      <w:r w:rsidRPr="00807282">
        <w:rPr>
          <w:b/>
          <w:sz w:val="22"/>
          <w:szCs w:val="22"/>
          <w:lang w:val="en-GB"/>
        </w:rPr>
        <w:t xml:space="preserve"> </w:t>
      </w:r>
    </w:p>
    <w:p w14:paraId="02675C3B" w14:textId="77777777" w:rsidR="0075150A" w:rsidRPr="00807282" w:rsidRDefault="00000000">
      <w:pPr>
        <w:pStyle w:val="Heading1"/>
        <w:spacing w:before="120" w:after="200"/>
        <w:jc w:val="center"/>
        <w:rPr>
          <w:b/>
          <w:sz w:val="22"/>
          <w:szCs w:val="22"/>
          <w:lang w:val="en-GB"/>
        </w:rPr>
      </w:pPr>
      <w:r w:rsidRPr="00807282">
        <w:rPr>
          <w:b/>
          <w:sz w:val="22"/>
          <w:szCs w:val="22"/>
          <w:lang w:val="en-GB"/>
        </w:rPr>
        <w:t>Twenty-eighth Session of the IOC Committee on International Oceanographic Data and Information Exchange (IODE-28)</w:t>
      </w:r>
    </w:p>
    <w:p w14:paraId="5249E9DF" w14:textId="77777777" w:rsidR="0075150A" w:rsidRPr="00807282" w:rsidRDefault="00000000">
      <w:pPr>
        <w:pStyle w:val="Heading1"/>
        <w:spacing w:before="120" w:after="200"/>
        <w:jc w:val="center"/>
        <w:rPr>
          <w:b/>
          <w:sz w:val="22"/>
          <w:szCs w:val="22"/>
          <w:lang w:val="en-GB"/>
        </w:rPr>
      </w:pPr>
      <w:r w:rsidRPr="00807282">
        <w:rPr>
          <w:b/>
          <w:sz w:val="22"/>
          <w:szCs w:val="22"/>
          <w:lang w:val="en-GB"/>
        </w:rPr>
        <w:t>12-14 March 2025</w:t>
      </w:r>
    </w:p>
    <w:p w14:paraId="77D2FBE3" w14:textId="5771F574" w:rsidR="0075150A" w:rsidRPr="00807282" w:rsidRDefault="00173AA4" w:rsidP="00630ADB">
      <w:pPr>
        <w:jc w:val="center"/>
        <w:rPr>
          <w:b/>
          <w:bCs/>
          <w:color w:val="212121"/>
          <w:sz w:val="44"/>
          <w:szCs w:val="44"/>
          <w:lang w:val="en-GB"/>
        </w:rPr>
      </w:pPr>
      <w:bookmarkStart w:id="0" w:name="_s7z8hgcyxsci" w:colFirst="0" w:colLast="0"/>
      <w:bookmarkStart w:id="1" w:name="_1mrcu09" w:colFirst="0" w:colLast="0"/>
      <w:bookmarkEnd w:id="0"/>
      <w:bookmarkEnd w:id="1"/>
      <w:r w:rsidRPr="00807282">
        <w:rPr>
          <w:b/>
          <w:bCs/>
          <w:sz w:val="44"/>
          <w:szCs w:val="44"/>
          <w:lang w:val="en-GB"/>
        </w:rPr>
        <w:t>PROPOSAL FOR EXTENDING THE IOC-OBPS FUNDING</w:t>
      </w:r>
    </w:p>
    <w:p w14:paraId="6A9CF3D6" w14:textId="33866796" w:rsidR="00BD52FF" w:rsidRPr="00807282" w:rsidRDefault="00BD52FF" w:rsidP="00BD52FF">
      <w:pPr>
        <w:spacing w:before="240" w:after="240" w:line="240" w:lineRule="auto"/>
        <w:rPr>
          <w:rFonts w:eastAsia="Times New Roman"/>
          <w:lang w:val="en-GB" w:eastAsia="en-GB"/>
        </w:rPr>
      </w:pPr>
      <w:r w:rsidRPr="00807282">
        <w:rPr>
          <w:rFonts w:eastAsia="Times New Roman"/>
          <w:color w:val="000000"/>
          <w:lang w:val="en-GB" w:eastAsia="en-GB"/>
        </w:rPr>
        <w:t xml:space="preserve">At IODE-27, it was agreed to restructure IODE into </w:t>
      </w:r>
      <w:r w:rsidR="00807282">
        <w:rPr>
          <w:rFonts w:eastAsia="Times New Roman"/>
          <w:color w:val="000000"/>
          <w:lang w:val="en-GB" w:eastAsia="en-GB"/>
        </w:rPr>
        <w:t>P</w:t>
      </w:r>
      <w:r w:rsidRPr="00807282">
        <w:rPr>
          <w:rFonts w:eastAsia="Times New Roman"/>
          <w:color w:val="000000"/>
          <w:lang w:val="en-GB" w:eastAsia="en-GB"/>
        </w:rPr>
        <w:t xml:space="preserve">rogramme components and </w:t>
      </w:r>
      <w:r w:rsidR="00807282">
        <w:rPr>
          <w:rFonts w:eastAsia="Times New Roman"/>
          <w:color w:val="000000"/>
          <w:lang w:val="en-GB" w:eastAsia="en-GB"/>
        </w:rPr>
        <w:t>A</w:t>
      </w:r>
      <w:r w:rsidRPr="00807282">
        <w:rPr>
          <w:rFonts w:eastAsia="Times New Roman"/>
          <w:color w:val="000000"/>
          <w:lang w:val="en-GB" w:eastAsia="en-GB"/>
        </w:rPr>
        <w:t xml:space="preserve">ctivities, with OBPS (Ocean Best Practices System) categorized as a Programme Activity. To secure its long-term sustainability and ensure relevance to all IOC mandates, during the SG-OBPS-VII Annual meeting, it was proposed to expand the scope of OBPS beyond IODE and GOOS, redefining its </w:t>
      </w:r>
      <w:hyperlink r:id="rId7" w:history="1">
        <w:r w:rsidRPr="00807282">
          <w:rPr>
            <w:rFonts w:eastAsia="Times New Roman"/>
            <w:color w:val="1155CC"/>
            <w:u w:val="single"/>
            <w:lang w:val="en-GB" w:eastAsia="en-GB"/>
          </w:rPr>
          <w:t>Terms of Reference</w:t>
        </w:r>
      </w:hyperlink>
      <w:r w:rsidRPr="00807282">
        <w:rPr>
          <w:rFonts w:eastAsia="Times New Roman"/>
          <w:color w:val="000000"/>
          <w:lang w:val="en-GB" w:eastAsia="en-GB"/>
        </w:rPr>
        <w:t xml:space="preserve"> and </w:t>
      </w:r>
      <w:hyperlink r:id="rId8" w:history="1">
        <w:r w:rsidRPr="00807282">
          <w:rPr>
            <w:rFonts w:eastAsia="Times New Roman"/>
            <w:color w:val="1155CC"/>
            <w:u w:val="single"/>
            <w:lang w:val="en-GB" w:eastAsia="en-GB"/>
          </w:rPr>
          <w:t>membership</w:t>
        </w:r>
      </w:hyperlink>
      <w:r w:rsidRPr="00807282">
        <w:rPr>
          <w:rFonts w:eastAsia="Times New Roman"/>
          <w:color w:val="000000"/>
          <w:lang w:val="en-GB" w:eastAsia="en-GB"/>
        </w:rPr>
        <w:t>. This strategic shift will amplify OBPS’s visibility, impact, and value for all IOC Programmes.</w:t>
      </w:r>
    </w:p>
    <w:p w14:paraId="22433BF3" w14:textId="77777777" w:rsidR="00BD52FF" w:rsidRPr="00807282" w:rsidRDefault="00BD52FF" w:rsidP="00BD52FF">
      <w:pPr>
        <w:spacing w:before="240" w:after="240" w:line="240" w:lineRule="auto"/>
        <w:rPr>
          <w:rFonts w:eastAsia="Times New Roman"/>
          <w:lang w:val="en-GB" w:eastAsia="en-GB"/>
        </w:rPr>
      </w:pPr>
      <w:r w:rsidRPr="00807282">
        <w:rPr>
          <w:rFonts w:eastAsia="Times New Roman"/>
          <w:color w:val="000000"/>
          <w:lang w:val="en-GB" w:eastAsia="en-GB"/>
        </w:rPr>
        <w:t>We warmly invite all IOC Programmes to join the OBPS initiative by contributing to its funding and actively collaborating in shaping its future. By participating, your programme will gain access to a curated repository of methodologies, standards, and tools that enhance operational efficiency and foster global interoperability. Additionally, your involvement will bring opportunities for international recognition, visibility, and collaboration with a network of experts and stakeholders. Together, we can co-develop impactful practices that support the UN Decade of Ocean Science for Sustainable Development, advance the IOC mission, and strengthen the resilience of the global ocean community.</w:t>
      </w:r>
    </w:p>
    <w:p w14:paraId="085F9FA4" w14:textId="77777777" w:rsidR="00BD52FF" w:rsidRPr="00807282" w:rsidRDefault="00BD52FF" w:rsidP="00BD52FF">
      <w:pPr>
        <w:spacing w:before="240" w:after="240" w:line="240" w:lineRule="auto"/>
        <w:rPr>
          <w:rFonts w:eastAsia="Times New Roman"/>
          <w:lang w:val="en-GB" w:eastAsia="en-GB"/>
        </w:rPr>
      </w:pPr>
      <w:r w:rsidRPr="00807282">
        <w:rPr>
          <w:rFonts w:eastAsia="Times New Roman"/>
          <w:color w:val="000000"/>
          <w:lang w:val="en-GB" w:eastAsia="en-GB"/>
        </w:rPr>
        <w:t>Your contribution is a commitment to shaping a more interoperable and interconnected future for ocean science.</w:t>
      </w:r>
    </w:p>
    <w:p w14:paraId="41E782D9" w14:textId="77777777" w:rsidR="00BD52FF" w:rsidRPr="00807282" w:rsidRDefault="00BD52FF" w:rsidP="00BD52FF">
      <w:pPr>
        <w:pStyle w:val="Heading2"/>
        <w:spacing w:before="240" w:after="60"/>
        <w:rPr>
          <w:sz w:val="28"/>
          <w:szCs w:val="28"/>
          <w:lang w:val="en-GB"/>
        </w:rPr>
      </w:pPr>
      <w:r w:rsidRPr="00807282">
        <w:rPr>
          <w:b/>
          <w:bCs/>
          <w:color w:val="000000"/>
          <w:sz w:val="28"/>
          <w:szCs w:val="28"/>
          <w:lang w:val="en-GB"/>
        </w:rPr>
        <w:t>Background Information</w:t>
      </w:r>
    </w:p>
    <w:p w14:paraId="6993A029" w14:textId="77777777" w:rsidR="00BD52FF" w:rsidRPr="00807282" w:rsidRDefault="00BD52FF" w:rsidP="00BD52FF">
      <w:pPr>
        <w:pStyle w:val="NormalWeb"/>
        <w:spacing w:before="240" w:beforeAutospacing="0" w:after="60" w:afterAutospacing="0"/>
        <w:rPr>
          <w:rFonts w:ascii="Arial" w:hAnsi="Arial" w:cs="Arial"/>
          <w:sz w:val="22"/>
          <w:szCs w:val="22"/>
          <w:lang w:val="en-GB"/>
        </w:rPr>
      </w:pPr>
      <w:r w:rsidRPr="00807282">
        <w:rPr>
          <w:rFonts w:ascii="Arial" w:hAnsi="Arial" w:cs="Arial"/>
          <w:b/>
          <w:bCs/>
          <w:color w:val="000000"/>
          <w:sz w:val="22"/>
          <w:szCs w:val="22"/>
          <w:lang w:val="en-GB"/>
        </w:rPr>
        <w:t xml:space="preserve">History: </w:t>
      </w:r>
      <w:r w:rsidRPr="00807282">
        <w:rPr>
          <w:rFonts w:ascii="Arial" w:hAnsi="Arial" w:cs="Arial"/>
          <w:color w:val="000000"/>
          <w:sz w:val="22"/>
          <w:szCs w:val="22"/>
          <w:lang w:val="en-GB"/>
        </w:rPr>
        <w:t xml:space="preserve">OBPS began in 2017 as a collaboration between IODE and the AtlantOS/ODIP/RCN Best Practices Working Group (BPWG) to develop a global repository for best practices in ocean sciences. The existing </w:t>
      </w:r>
      <w:r w:rsidRPr="00807282">
        <w:rPr>
          <w:rFonts w:ascii="Arial" w:hAnsi="Arial" w:cs="Arial"/>
          <w:i/>
          <w:iCs/>
          <w:color w:val="000000"/>
          <w:sz w:val="22"/>
          <w:szCs w:val="22"/>
          <w:lang w:val="en-GB"/>
        </w:rPr>
        <w:t xml:space="preserve">OceanDataPractices </w:t>
      </w:r>
      <w:r w:rsidRPr="00807282">
        <w:rPr>
          <w:rFonts w:ascii="Arial" w:hAnsi="Arial" w:cs="Arial"/>
          <w:color w:val="000000"/>
          <w:sz w:val="22"/>
          <w:szCs w:val="22"/>
          <w:lang w:val="en-GB"/>
        </w:rPr>
        <w:t xml:space="preserve">repository, established under the Ocean Data Standards and Best Practices Project (ODSBP), was expanded and renamed </w:t>
      </w:r>
      <w:r w:rsidRPr="00807282">
        <w:rPr>
          <w:rFonts w:ascii="Arial" w:hAnsi="Arial" w:cs="Arial"/>
          <w:i/>
          <w:iCs/>
          <w:color w:val="000000"/>
          <w:sz w:val="22"/>
          <w:szCs w:val="22"/>
          <w:lang w:val="en-GB"/>
        </w:rPr>
        <w:t>OceanBestPractices</w:t>
      </w:r>
      <w:r w:rsidRPr="00807282">
        <w:rPr>
          <w:rFonts w:ascii="Arial" w:hAnsi="Arial" w:cs="Arial"/>
          <w:color w:val="000000"/>
          <w:sz w:val="22"/>
          <w:szCs w:val="22"/>
          <w:lang w:val="en-GB"/>
        </w:rPr>
        <w:t xml:space="preserve"> to encompass all ocean-related best practices. By 2019, OBPS evolved into a full-fledged UNESCO/IOC Project, supported by funding from IODE and GOOS Programmes. In 2023, OBPS achieved the status of an IODE Programme Activity under the Ocean Data and Information System (ODIS), operating within the UNESCO IODE and GOOS frameworks.</w:t>
      </w:r>
    </w:p>
    <w:p w14:paraId="5F744339" w14:textId="77777777" w:rsidR="00BD52FF" w:rsidRPr="00807282" w:rsidRDefault="00BD52FF" w:rsidP="00BD52FF">
      <w:pPr>
        <w:pStyle w:val="NormalWeb"/>
        <w:spacing w:before="240" w:beforeAutospacing="0" w:after="60" w:afterAutospacing="0"/>
        <w:rPr>
          <w:rFonts w:ascii="Arial" w:hAnsi="Arial" w:cs="Arial"/>
          <w:sz w:val="22"/>
          <w:szCs w:val="22"/>
          <w:lang w:val="en-GB"/>
        </w:rPr>
      </w:pPr>
      <w:r w:rsidRPr="00807282">
        <w:rPr>
          <w:rFonts w:ascii="Arial" w:hAnsi="Arial" w:cs="Arial"/>
          <w:b/>
          <w:bCs/>
          <w:color w:val="000000"/>
          <w:sz w:val="22"/>
          <w:szCs w:val="22"/>
          <w:lang w:val="en-GB"/>
        </w:rPr>
        <w:lastRenderedPageBreak/>
        <w:t xml:space="preserve">What is the OBPS? </w:t>
      </w:r>
      <w:r w:rsidRPr="00807282">
        <w:rPr>
          <w:rFonts w:ascii="Arial" w:hAnsi="Arial" w:cs="Arial"/>
          <w:color w:val="000000"/>
          <w:sz w:val="22"/>
          <w:szCs w:val="22"/>
          <w:lang w:val="en-GB"/>
        </w:rPr>
        <w:t>The OBPS is a global initiative dedicated to improving and standardising methodologies and practices for collecting, analysing, and sharing ocean data and information across a wide range of ocean stakeholders including researchers, policymakers, and end-users. </w:t>
      </w:r>
    </w:p>
    <w:p w14:paraId="6A525B00" w14:textId="77777777" w:rsidR="00BD52FF" w:rsidRPr="00807282" w:rsidRDefault="00BD52FF" w:rsidP="00BD52FF">
      <w:pPr>
        <w:pStyle w:val="NormalWeb"/>
        <w:spacing w:before="0" w:beforeAutospacing="0" w:after="60" w:afterAutospacing="0"/>
        <w:rPr>
          <w:rFonts w:ascii="Arial" w:hAnsi="Arial" w:cs="Arial"/>
          <w:b/>
          <w:bCs/>
          <w:color w:val="000000"/>
          <w:sz w:val="22"/>
          <w:szCs w:val="22"/>
          <w:lang w:val="en-GB"/>
        </w:rPr>
      </w:pPr>
    </w:p>
    <w:p w14:paraId="0A43C4FE" w14:textId="6D9731FC" w:rsidR="00BD52FF" w:rsidRPr="00807282" w:rsidRDefault="00BD52FF" w:rsidP="00BD52FF">
      <w:pPr>
        <w:pStyle w:val="NormalWeb"/>
        <w:spacing w:before="0" w:beforeAutospacing="0" w:after="60" w:afterAutospacing="0"/>
        <w:rPr>
          <w:rFonts w:ascii="Arial" w:hAnsi="Arial" w:cs="Arial"/>
          <w:sz w:val="22"/>
          <w:szCs w:val="22"/>
          <w:lang w:val="en-GB"/>
        </w:rPr>
      </w:pPr>
      <w:r w:rsidRPr="00807282">
        <w:rPr>
          <w:rFonts w:ascii="Arial" w:hAnsi="Arial" w:cs="Arial"/>
          <w:b/>
          <w:bCs/>
          <w:color w:val="000000"/>
          <w:sz w:val="22"/>
          <w:szCs w:val="22"/>
          <w:lang w:val="en-GB"/>
        </w:rPr>
        <w:t xml:space="preserve">What is the OBPS Repository? </w:t>
      </w:r>
      <w:r w:rsidRPr="00807282">
        <w:rPr>
          <w:rFonts w:ascii="Arial" w:hAnsi="Arial" w:cs="Arial"/>
          <w:color w:val="000000"/>
          <w:sz w:val="22"/>
          <w:szCs w:val="22"/>
          <w:lang w:val="en-GB"/>
        </w:rPr>
        <w:t xml:space="preserve">The OBPS repository is a global, open-access, and permanent digital resource that supports ocean stakeholders by providing a curated </w:t>
      </w:r>
      <w:r w:rsidR="00807282" w:rsidRPr="00807282">
        <w:rPr>
          <w:rFonts w:ascii="Arial" w:hAnsi="Arial" w:cs="Arial"/>
          <w:color w:val="000000"/>
          <w:sz w:val="22"/>
          <w:szCs w:val="22"/>
          <w:lang w:val="en-GB"/>
        </w:rPr>
        <w:t>collection of</w:t>
      </w:r>
      <w:r w:rsidRPr="00807282">
        <w:rPr>
          <w:rFonts w:ascii="Arial" w:hAnsi="Arial" w:cs="Arial"/>
          <w:color w:val="000000"/>
          <w:sz w:val="22"/>
          <w:szCs w:val="22"/>
          <w:lang w:val="en-GB"/>
        </w:rPr>
        <w:t xml:space="preserve"> methodologies, standards, practices, and endorsed best practices across ocean sciences, operations, data/information management, application, and services. It serves as a hub for accessing, sharing, refining, promoting, adopting, and endorsing methodologies and practices at all levels of maturity. The repository offers significant value to the dynamic and evolving ocean community by fostering collaboration and encouraging the adoption and endorsement of high-quality practices. Programs that contribute their practices to the OBPS include GOOS, IMOS, ICES, FAO</w:t>
      </w:r>
      <w:r w:rsidR="00807282">
        <w:rPr>
          <w:rFonts w:ascii="Arial" w:hAnsi="Arial" w:cs="Arial"/>
          <w:color w:val="000000"/>
          <w:sz w:val="22"/>
          <w:szCs w:val="22"/>
          <w:lang w:val="en-GB"/>
        </w:rPr>
        <w:t xml:space="preserve"> and </w:t>
      </w:r>
      <w:r w:rsidRPr="00807282">
        <w:rPr>
          <w:rFonts w:ascii="Arial" w:hAnsi="Arial" w:cs="Arial"/>
          <w:color w:val="000000"/>
          <w:sz w:val="22"/>
          <w:szCs w:val="22"/>
          <w:lang w:val="en-GB"/>
        </w:rPr>
        <w:t>ARGO</w:t>
      </w:r>
      <w:r w:rsidR="00807282">
        <w:rPr>
          <w:rFonts w:ascii="Arial" w:hAnsi="Arial" w:cs="Arial"/>
          <w:color w:val="000000"/>
          <w:sz w:val="22"/>
          <w:szCs w:val="22"/>
          <w:lang w:val="en-GB"/>
        </w:rPr>
        <w:t xml:space="preserve">, among others. </w:t>
      </w:r>
    </w:p>
    <w:p w14:paraId="6B0F87ED" w14:textId="77777777" w:rsidR="00BD52FF" w:rsidRPr="00807282" w:rsidRDefault="00BD52FF" w:rsidP="00BD52FF">
      <w:pPr>
        <w:rPr>
          <w:b/>
          <w:bCs/>
          <w:color w:val="000000"/>
          <w:lang w:val="en-GB"/>
        </w:rPr>
      </w:pPr>
    </w:p>
    <w:p w14:paraId="67B19453" w14:textId="03C0062F" w:rsidR="00BD52FF" w:rsidRPr="00807282" w:rsidRDefault="00BD52FF" w:rsidP="00BD52FF">
      <w:pPr>
        <w:rPr>
          <w:color w:val="000000"/>
          <w:lang w:val="en-GB"/>
        </w:rPr>
      </w:pPr>
      <w:r w:rsidRPr="00807282">
        <w:rPr>
          <w:b/>
          <w:bCs/>
          <w:color w:val="000000"/>
          <w:lang w:val="en-GB"/>
        </w:rPr>
        <w:t xml:space="preserve">Why Does IOC Need OBPS? </w:t>
      </w:r>
      <w:r w:rsidRPr="00807282">
        <w:rPr>
          <w:color w:val="000000"/>
          <w:lang w:val="en-GB"/>
        </w:rPr>
        <w:t>The OBPS plays a vital role in supporting IOC programmes and contributing to the UN Decade of Ocean Science for Sustainable Development and the UM Sustainable Development Goals (SDGs). By providing a permanent, curated archive of methodologies, standards, and practices, OBPS enables IOC programmes to make their documents discoverable, and shareable, while fostering a collaborative space for communities to collectively advance our methodological heritage. It enables the refinement of methodologies, ensures global dissemination, and promotes collaboration within the IOC community and beyond. By bridging knowledge gaps, standardizing practices, and improving interoperability, OBPS strengthens global efforts to</w:t>
      </w:r>
      <w:r w:rsidR="00807282">
        <w:rPr>
          <w:color w:val="000000"/>
          <w:lang w:val="en-GB"/>
        </w:rPr>
        <w:t xml:space="preserve"> f</w:t>
      </w:r>
      <w:r w:rsidRPr="00807282">
        <w:rPr>
          <w:color w:val="000000"/>
          <w:lang w:val="en-GB"/>
        </w:rPr>
        <w:t>acilitate training in high-quality practices, address critical ocean challenges, and ensure global participation</w:t>
      </w:r>
      <w:r w:rsidR="00807282">
        <w:rPr>
          <w:color w:val="000000"/>
          <w:lang w:val="en-GB"/>
        </w:rPr>
        <w:t>.</w:t>
      </w:r>
    </w:p>
    <w:p w14:paraId="60A1AEC9" w14:textId="77777777" w:rsidR="00BD52FF" w:rsidRPr="00807282" w:rsidRDefault="00BD52FF" w:rsidP="00BD52FF">
      <w:pPr>
        <w:rPr>
          <w:b/>
          <w:bCs/>
          <w:color w:val="000000"/>
          <w:lang w:val="en-GB"/>
        </w:rPr>
      </w:pPr>
    </w:p>
    <w:p w14:paraId="5836514D" w14:textId="58D7A42E" w:rsidR="00BD52FF" w:rsidRPr="00807282" w:rsidRDefault="00BD52FF" w:rsidP="00BD52FF">
      <w:pPr>
        <w:rPr>
          <w:color w:val="000000"/>
          <w:lang w:val="en-GB"/>
        </w:rPr>
      </w:pPr>
      <w:r w:rsidRPr="00807282">
        <w:rPr>
          <w:b/>
          <w:bCs/>
          <w:color w:val="000000"/>
          <w:lang w:val="en-GB"/>
        </w:rPr>
        <w:t xml:space="preserve">How Is OBPS Managed? </w:t>
      </w:r>
      <w:r w:rsidRPr="00807282">
        <w:rPr>
          <w:color w:val="000000"/>
          <w:lang w:val="en-GB"/>
        </w:rPr>
        <w:t>OBPS is steered by the SG-OBPS, which provides strategic guidance, ensures alignment with IOC mandates, and promotes inclusivity in decision-making. The group comprises representatives from IOC Programmes, partner organizations, and invited experts, ensuring diverse and balanced representation. It actively seeks funding opportunities, promotes OBPS, advises the community, and supports the Repository and IT Managers. Plans are in place to further expand the group to include broader IOC representation, further fostering collaboration across programs, activities, regions, and disciplines.</w:t>
      </w:r>
    </w:p>
    <w:p w14:paraId="734421DB" w14:textId="77777777" w:rsidR="00BD52FF" w:rsidRPr="00807282" w:rsidRDefault="00BD52FF" w:rsidP="00BD52FF">
      <w:pPr>
        <w:pStyle w:val="Heading2"/>
        <w:spacing w:before="240" w:after="40"/>
        <w:rPr>
          <w:sz w:val="28"/>
          <w:szCs w:val="28"/>
          <w:lang w:val="en-GB"/>
        </w:rPr>
      </w:pPr>
      <w:r w:rsidRPr="00807282">
        <w:rPr>
          <w:b/>
          <w:bCs/>
          <w:color w:val="000000"/>
          <w:sz w:val="28"/>
          <w:szCs w:val="28"/>
          <w:lang w:val="en-GB"/>
        </w:rPr>
        <w:t>Achievements to Date</w:t>
      </w:r>
    </w:p>
    <w:p w14:paraId="17D3D189" w14:textId="77777777" w:rsidR="00BD52FF" w:rsidRPr="00807282" w:rsidRDefault="00BD52FF" w:rsidP="00BD52FF">
      <w:pPr>
        <w:pStyle w:val="NormalWeb"/>
        <w:spacing w:before="240" w:beforeAutospacing="0" w:after="240" w:afterAutospacing="0"/>
        <w:rPr>
          <w:lang w:val="en-GB"/>
        </w:rPr>
      </w:pPr>
      <w:r w:rsidRPr="00807282">
        <w:rPr>
          <w:rFonts w:ascii="Arial" w:hAnsi="Arial" w:cs="Arial"/>
          <w:color w:val="000000"/>
          <w:sz w:val="22"/>
          <w:szCs w:val="22"/>
          <w:lang w:val="en-GB"/>
        </w:rPr>
        <w:t>The SG-OBPS has made significant progress in governance, repository growth, community engagement, capacity building, and technical innovation during 2023-2024, with plans to build on these accomplishments in the future.</w:t>
      </w:r>
    </w:p>
    <w:p w14:paraId="341A3BBA" w14:textId="77777777" w:rsidR="00BD52FF" w:rsidRPr="00807282" w:rsidRDefault="00BD52FF" w:rsidP="00BD52FF">
      <w:pPr>
        <w:pStyle w:val="NormalWeb"/>
        <w:spacing w:before="240" w:beforeAutospacing="0" w:after="240" w:afterAutospacing="0"/>
        <w:rPr>
          <w:lang w:val="en-GB"/>
        </w:rPr>
      </w:pPr>
      <w:r w:rsidRPr="00807282">
        <w:rPr>
          <w:rFonts w:ascii="Arial" w:hAnsi="Arial" w:cs="Arial"/>
          <w:color w:val="000000"/>
          <w:sz w:val="22"/>
          <w:szCs w:val="22"/>
          <w:lang w:val="en-GB"/>
        </w:rPr>
        <w:t xml:space="preserve">In </w:t>
      </w:r>
      <w:r w:rsidRPr="00807282">
        <w:rPr>
          <w:rFonts w:ascii="Arial" w:hAnsi="Arial" w:cs="Arial"/>
          <w:b/>
          <w:bCs/>
          <w:color w:val="000000"/>
          <w:sz w:val="22"/>
          <w:szCs w:val="22"/>
          <w:lang w:val="en-GB"/>
        </w:rPr>
        <w:t>governance and strategy</w:t>
      </w:r>
      <w:r w:rsidRPr="00807282">
        <w:rPr>
          <w:rFonts w:ascii="Arial" w:hAnsi="Arial" w:cs="Arial"/>
          <w:color w:val="000000"/>
          <w:sz w:val="22"/>
          <w:szCs w:val="22"/>
          <w:lang w:val="en-GB"/>
        </w:rPr>
        <w:t>, the Advisory Board was established in October 2024, comprising international experts to guide strategy and stakeholder engagement. </w:t>
      </w:r>
    </w:p>
    <w:p w14:paraId="6D7228EE" w14:textId="77777777" w:rsidR="00BD52FF" w:rsidRPr="00807282" w:rsidRDefault="00BD52FF" w:rsidP="00BD52FF">
      <w:pPr>
        <w:pStyle w:val="NormalWeb"/>
        <w:spacing w:before="240" w:beforeAutospacing="0" w:after="240" w:afterAutospacing="0"/>
        <w:rPr>
          <w:lang w:val="en-GB"/>
        </w:rPr>
      </w:pPr>
      <w:r w:rsidRPr="00807282">
        <w:rPr>
          <w:rFonts w:ascii="Arial" w:hAnsi="Arial" w:cs="Arial"/>
          <w:color w:val="000000"/>
          <w:sz w:val="22"/>
          <w:szCs w:val="22"/>
          <w:lang w:val="en-GB"/>
        </w:rPr>
        <w:t xml:space="preserve">The </w:t>
      </w:r>
      <w:r w:rsidRPr="00807282">
        <w:rPr>
          <w:rFonts w:ascii="Arial" w:hAnsi="Arial" w:cs="Arial"/>
          <w:b/>
          <w:bCs/>
          <w:color w:val="000000"/>
          <w:sz w:val="22"/>
          <w:szCs w:val="22"/>
          <w:lang w:val="en-GB"/>
        </w:rPr>
        <w:t>repository</w:t>
      </w:r>
      <w:r w:rsidRPr="00807282">
        <w:rPr>
          <w:rFonts w:ascii="Arial" w:hAnsi="Arial" w:cs="Arial"/>
          <w:color w:val="000000"/>
          <w:sz w:val="22"/>
          <w:szCs w:val="22"/>
          <w:lang w:val="en-GB"/>
        </w:rPr>
        <w:t xml:space="preserve"> grew to include 2,241 documents, with 86,720 users and 100,905 sessions (July 2023–November 2024). Technical upgrades, such as metadata filters, and AI tools, improved content accessibility, validation, and multilingual translation.</w:t>
      </w:r>
    </w:p>
    <w:p w14:paraId="4F9934E9" w14:textId="77777777" w:rsidR="00BD52FF" w:rsidRPr="00807282" w:rsidRDefault="00BD52FF" w:rsidP="00BD52FF">
      <w:pPr>
        <w:pStyle w:val="NormalWeb"/>
        <w:spacing w:before="240" w:beforeAutospacing="0" w:after="240" w:afterAutospacing="0"/>
        <w:rPr>
          <w:lang w:val="en-GB"/>
        </w:rPr>
      </w:pPr>
      <w:r w:rsidRPr="00807282">
        <w:rPr>
          <w:rFonts w:ascii="Arial" w:hAnsi="Arial" w:cs="Arial"/>
          <w:b/>
          <w:bCs/>
          <w:color w:val="000000"/>
          <w:sz w:val="22"/>
          <w:szCs w:val="22"/>
          <w:lang w:val="en-GB"/>
        </w:rPr>
        <w:t>Community engagement</w:t>
      </w:r>
      <w:r w:rsidRPr="00807282">
        <w:rPr>
          <w:rFonts w:ascii="Arial" w:hAnsi="Arial" w:cs="Arial"/>
          <w:color w:val="000000"/>
          <w:sz w:val="22"/>
          <w:szCs w:val="22"/>
          <w:lang w:val="en-GB"/>
        </w:rPr>
        <w:t xml:space="preserve"> efforts included the 8th Annual OBPS Workshop (October 2024), attracting 700 participants across 72 sessions. Partnerships were strengthened via events </w:t>
      </w:r>
      <w:r w:rsidRPr="00807282">
        <w:rPr>
          <w:rFonts w:ascii="Arial" w:hAnsi="Arial" w:cs="Arial"/>
          <w:color w:val="000000"/>
          <w:sz w:val="22"/>
          <w:szCs w:val="22"/>
          <w:lang w:val="en-GB"/>
        </w:rPr>
        <w:lastRenderedPageBreak/>
        <w:t xml:space="preserve">like the UN Decade Conference in Barcelona, featuring joint sessions and exhibitions. Additionally, 18 best practice articles were published in </w:t>
      </w:r>
      <w:r w:rsidRPr="00807282">
        <w:rPr>
          <w:rFonts w:ascii="Arial" w:hAnsi="Arial" w:cs="Arial"/>
          <w:i/>
          <w:iCs/>
          <w:color w:val="000000"/>
          <w:sz w:val="22"/>
          <w:szCs w:val="22"/>
          <w:lang w:val="en-GB"/>
        </w:rPr>
        <w:t>Frontiers in Marine Science</w:t>
      </w:r>
      <w:r w:rsidRPr="00807282">
        <w:rPr>
          <w:rFonts w:ascii="Arial" w:hAnsi="Arial" w:cs="Arial"/>
          <w:color w:val="000000"/>
          <w:sz w:val="22"/>
          <w:szCs w:val="22"/>
          <w:lang w:val="en-GB"/>
        </w:rPr>
        <w:t xml:space="preserve">, and nine Decade Projects were hosted by the </w:t>
      </w:r>
      <w:proofErr w:type="spellStart"/>
      <w:r w:rsidRPr="00807282">
        <w:rPr>
          <w:rFonts w:ascii="Arial" w:hAnsi="Arial" w:cs="Arial"/>
          <w:color w:val="000000"/>
          <w:sz w:val="22"/>
          <w:szCs w:val="22"/>
          <w:lang w:val="en-GB"/>
        </w:rPr>
        <w:t>OceanPractices</w:t>
      </w:r>
      <w:proofErr w:type="spellEnd"/>
      <w:r w:rsidRPr="00807282">
        <w:rPr>
          <w:rFonts w:ascii="Arial" w:hAnsi="Arial" w:cs="Arial"/>
          <w:color w:val="000000"/>
          <w:sz w:val="22"/>
          <w:szCs w:val="22"/>
          <w:lang w:val="en-GB"/>
        </w:rPr>
        <w:t xml:space="preserve"> Program.</w:t>
      </w:r>
    </w:p>
    <w:p w14:paraId="5CD6511D" w14:textId="438FB1A0" w:rsidR="00BD52FF" w:rsidRPr="00807282" w:rsidRDefault="00BD52FF" w:rsidP="00BD52FF">
      <w:pPr>
        <w:rPr>
          <w:color w:val="000000"/>
          <w:lang w:val="en-GB"/>
        </w:rPr>
      </w:pPr>
      <w:r w:rsidRPr="00807282">
        <w:rPr>
          <w:b/>
          <w:bCs/>
          <w:color w:val="000000"/>
          <w:lang w:val="en-GB"/>
        </w:rPr>
        <w:t>Capacity development</w:t>
      </w:r>
      <w:r w:rsidRPr="00807282">
        <w:rPr>
          <w:color w:val="000000"/>
          <w:lang w:val="en-GB"/>
        </w:rPr>
        <w:t xml:space="preserve"> initiatives included a self-paced OTGA training course launched in November 2024, partnerships with the World Maritime University for biodiversity monitoring and maritime curricula, and the inaugural cohort of </w:t>
      </w:r>
      <w:proofErr w:type="spellStart"/>
      <w:r w:rsidRPr="00807282">
        <w:rPr>
          <w:color w:val="000000"/>
          <w:lang w:val="en-GB"/>
        </w:rPr>
        <w:t>OceanPractices</w:t>
      </w:r>
      <w:proofErr w:type="spellEnd"/>
      <w:r w:rsidRPr="00807282">
        <w:rPr>
          <w:color w:val="000000"/>
          <w:lang w:val="en-GB"/>
        </w:rPr>
        <w:t xml:space="preserve"> Ambassadors (October 2023).</w:t>
      </w:r>
    </w:p>
    <w:p w14:paraId="4A6979DE" w14:textId="77777777" w:rsidR="00BD52FF" w:rsidRPr="00807282" w:rsidRDefault="00BD52FF" w:rsidP="00BD52FF">
      <w:pPr>
        <w:rPr>
          <w:color w:val="000000"/>
          <w:lang w:val="en-GB"/>
        </w:rPr>
      </w:pPr>
    </w:p>
    <w:p w14:paraId="64C73C19" w14:textId="649ABED5" w:rsidR="00BD52FF" w:rsidRPr="00807282" w:rsidRDefault="00BD52FF" w:rsidP="00BD52FF">
      <w:pPr>
        <w:rPr>
          <w:color w:val="000000"/>
          <w:lang w:val="en-GB"/>
        </w:rPr>
      </w:pPr>
      <w:r w:rsidRPr="00807282">
        <w:rPr>
          <w:color w:val="000000"/>
          <w:lang w:val="en-GB"/>
        </w:rPr>
        <w:t xml:space="preserve">In </w:t>
      </w:r>
      <w:r w:rsidRPr="00807282">
        <w:rPr>
          <w:b/>
          <w:bCs/>
          <w:color w:val="000000"/>
          <w:lang w:val="en-GB"/>
        </w:rPr>
        <w:t xml:space="preserve">metrics and analytics, </w:t>
      </w:r>
      <w:r w:rsidRPr="00807282">
        <w:rPr>
          <w:color w:val="000000"/>
          <w:lang w:val="en-GB"/>
        </w:rPr>
        <w:t xml:space="preserve">a public metrics dashboard was introduced to track content quality, usage and engagement, alongside deeper user insights through tools like Google Analytics and </w:t>
      </w:r>
      <w:proofErr w:type="spellStart"/>
      <w:r w:rsidRPr="00807282">
        <w:rPr>
          <w:color w:val="000000"/>
          <w:lang w:val="en-GB"/>
        </w:rPr>
        <w:t>Altmetrics</w:t>
      </w:r>
      <w:proofErr w:type="spellEnd"/>
      <w:r w:rsidRPr="00807282">
        <w:rPr>
          <w:color w:val="000000"/>
          <w:lang w:val="en-GB"/>
        </w:rPr>
        <w:t>.</w:t>
      </w:r>
    </w:p>
    <w:p w14:paraId="664DBE1A" w14:textId="77777777" w:rsidR="00BD52FF" w:rsidRPr="00807282" w:rsidRDefault="00BD52FF" w:rsidP="00BD52FF">
      <w:pPr>
        <w:rPr>
          <w:color w:val="000000"/>
          <w:lang w:val="en-GB"/>
        </w:rPr>
      </w:pPr>
    </w:p>
    <w:p w14:paraId="68BD1D55" w14:textId="4873232B" w:rsidR="00BD52FF" w:rsidRPr="00807282" w:rsidRDefault="00BD52FF" w:rsidP="00BD52FF">
      <w:pPr>
        <w:rPr>
          <w:color w:val="000000"/>
          <w:lang w:val="en-GB"/>
        </w:rPr>
      </w:pPr>
      <w:r w:rsidRPr="00807282">
        <w:rPr>
          <w:color w:val="000000"/>
          <w:lang w:val="en-GB"/>
        </w:rPr>
        <w:t>Finally, to ensure sustainability, the AISBL legal entity Ocean Practices was established in 2024 to secure long-term funding. Participation in four EU projects (Blue Cloud, ILIAD, Obsea4Clim, and CINEA) further advanced best practices.</w:t>
      </w:r>
    </w:p>
    <w:p w14:paraId="484DAEF9" w14:textId="77777777" w:rsidR="00BD52FF" w:rsidRPr="00807282" w:rsidRDefault="00BD52FF" w:rsidP="00BD52FF">
      <w:pPr>
        <w:rPr>
          <w:color w:val="000000"/>
          <w:lang w:val="en-GB"/>
        </w:rPr>
      </w:pPr>
    </w:p>
    <w:p w14:paraId="61347BEF" w14:textId="7676C7B7" w:rsidR="00BD52FF" w:rsidRPr="00807282" w:rsidRDefault="00BD52FF" w:rsidP="00BD52FF">
      <w:pPr>
        <w:rPr>
          <w:b/>
          <w:bCs/>
          <w:color w:val="000000"/>
          <w:sz w:val="28"/>
          <w:szCs w:val="28"/>
          <w:lang w:val="en-GB"/>
        </w:rPr>
      </w:pPr>
      <w:r w:rsidRPr="00807282">
        <w:rPr>
          <w:b/>
          <w:bCs/>
          <w:color w:val="000000"/>
          <w:sz w:val="28"/>
          <w:szCs w:val="28"/>
          <w:lang w:val="en-GB"/>
        </w:rPr>
        <w:t>Funding Requirements for 2025</w:t>
      </w:r>
    </w:p>
    <w:p w14:paraId="2B8DA53F" w14:textId="77777777" w:rsidR="00BD52FF" w:rsidRPr="00807282" w:rsidRDefault="00BD52FF" w:rsidP="00BD52FF">
      <w:pPr>
        <w:rPr>
          <w:color w:val="000000"/>
          <w:lang w:val="en-GB"/>
        </w:rPr>
      </w:pPr>
    </w:p>
    <w:p w14:paraId="1DAD49A1" w14:textId="07C90519" w:rsidR="00BD52FF" w:rsidRPr="00807282" w:rsidRDefault="00BD52FF" w:rsidP="00BD52FF">
      <w:pPr>
        <w:rPr>
          <w:color w:val="212121"/>
          <w:lang w:val="en-GB"/>
        </w:rPr>
      </w:pPr>
      <w:r w:rsidRPr="00807282">
        <w:rPr>
          <w:color w:val="000000"/>
          <w:lang w:val="en-GB"/>
        </w:rPr>
        <w:t>To sustain the critical activities of the Ocean Best Practices System (OBPS) in 2025, a total budget of $87,380 has been allocated to support essential areas such as governance, repository enhancements, and stakeholder engagement. Funding for the first semester, amounting to $19,960, has been secured through contributions from IODE and GOOS. However, the second semester requires an additional $67,420, which we propose to distribute among IOC Programmes. For instance, if five programmes contribute, the cost per programme would be approximately $9,631 USD.</w:t>
      </w:r>
    </w:p>
    <w:p w14:paraId="7A30AEF6" w14:textId="77777777" w:rsidR="0075150A" w:rsidRPr="00807282" w:rsidRDefault="0075150A" w:rsidP="00BD52FF">
      <w:pPr>
        <w:rPr>
          <w:color w:val="212121"/>
          <w:lang w:val="en-GB"/>
        </w:rPr>
      </w:pPr>
    </w:p>
    <w:tbl>
      <w:tblPr>
        <w:tblStyle w:val="a"/>
        <w:tblW w:w="9278" w:type="dxa"/>
        <w:tblInd w:w="-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4"/>
        <w:gridCol w:w="1980"/>
        <w:gridCol w:w="1980"/>
        <w:gridCol w:w="1634"/>
      </w:tblGrid>
      <w:tr w:rsidR="00173AA4" w:rsidRPr="00807282" w14:paraId="4DF0FF0C" w14:textId="03978435" w:rsidTr="00BD52FF">
        <w:trPr>
          <w:trHeight w:val="249"/>
        </w:trPr>
        <w:tc>
          <w:tcPr>
            <w:tcW w:w="3684" w:type="dxa"/>
            <w:shd w:val="clear" w:color="auto" w:fill="auto"/>
            <w:tcMar>
              <w:top w:w="100" w:type="dxa"/>
              <w:left w:w="100" w:type="dxa"/>
              <w:bottom w:w="100" w:type="dxa"/>
              <w:right w:w="100" w:type="dxa"/>
            </w:tcMar>
          </w:tcPr>
          <w:p w14:paraId="38B5166B" w14:textId="585F0F9B" w:rsidR="00173AA4" w:rsidRPr="00807282" w:rsidRDefault="00173AA4" w:rsidP="00173AA4">
            <w:pPr>
              <w:widowControl w:val="0"/>
              <w:pBdr>
                <w:top w:val="nil"/>
                <w:left w:val="nil"/>
                <w:bottom w:val="nil"/>
                <w:right w:val="nil"/>
                <w:between w:val="nil"/>
              </w:pBdr>
              <w:spacing w:line="240" w:lineRule="auto"/>
              <w:jc w:val="center"/>
              <w:rPr>
                <w:b/>
                <w:color w:val="212121"/>
                <w:lang w:val="en-GB"/>
              </w:rPr>
            </w:pPr>
            <w:r w:rsidRPr="00807282">
              <w:rPr>
                <w:b/>
                <w:color w:val="212121"/>
                <w:lang w:val="en-GB"/>
              </w:rPr>
              <w:t>Milestone</w:t>
            </w:r>
          </w:p>
        </w:tc>
        <w:tc>
          <w:tcPr>
            <w:tcW w:w="1980" w:type="dxa"/>
            <w:shd w:val="clear" w:color="auto" w:fill="auto"/>
            <w:tcMar>
              <w:top w:w="100" w:type="dxa"/>
              <w:left w:w="100" w:type="dxa"/>
              <w:bottom w:w="100" w:type="dxa"/>
              <w:right w:w="100" w:type="dxa"/>
            </w:tcMar>
          </w:tcPr>
          <w:p w14:paraId="1629D4E0" w14:textId="4538C933" w:rsidR="00173AA4" w:rsidRPr="00807282" w:rsidRDefault="00173AA4" w:rsidP="00173AA4">
            <w:pPr>
              <w:widowControl w:val="0"/>
              <w:pBdr>
                <w:top w:val="nil"/>
                <w:left w:val="nil"/>
                <w:bottom w:val="nil"/>
                <w:right w:val="nil"/>
                <w:between w:val="nil"/>
              </w:pBdr>
              <w:spacing w:line="240" w:lineRule="auto"/>
              <w:jc w:val="center"/>
              <w:rPr>
                <w:b/>
                <w:color w:val="212121"/>
                <w:lang w:val="en-GB"/>
              </w:rPr>
            </w:pPr>
            <w:r w:rsidRPr="00807282">
              <w:rPr>
                <w:b/>
                <w:color w:val="212121"/>
                <w:lang w:val="en-GB"/>
              </w:rPr>
              <w:t>Jan-Jun 2025</w:t>
            </w:r>
          </w:p>
        </w:tc>
        <w:tc>
          <w:tcPr>
            <w:tcW w:w="1980" w:type="dxa"/>
            <w:shd w:val="clear" w:color="auto" w:fill="auto"/>
            <w:tcMar>
              <w:top w:w="100" w:type="dxa"/>
              <w:left w:w="100" w:type="dxa"/>
              <w:bottom w:w="100" w:type="dxa"/>
              <w:right w:w="100" w:type="dxa"/>
            </w:tcMar>
          </w:tcPr>
          <w:p w14:paraId="5DD84C39" w14:textId="4BEB3CA1" w:rsidR="00173AA4" w:rsidRPr="00807282" w:rsidRDefault="00173AA4" w:rsidP="00173AA4">
            <w:pPr>
              <w:widowControl w:val="0"/>
              <w:pBdr>
                <w:top w:val="nil"/>
                <w:left w:val="nil"/>
                <w:bottom w:val="nil"/>
                <w:right w:val="nil"/>
                <w:between w:val="nil"/>
              </w:pBdr>
              <w:spacing w:line="240" w:lineRule="auto"/>
              <w:jc w:val="center"/>
              <w:rPr>
                <w:b/>
                <w:color w:val="212121"/>
                <w:lang w:val="en-GB"/>
              </w:rPr>
            </w:pPr>
            <w:r w:rsidRPr="00807282">
              <w:rPr>
                <w:b/>
                <w:color w:val="212121"/>
                <w:lang w:val="en-GB"/>
              </w:rPr>
              <w:t>July-Dec 2025</w:t>
            </w:r>
          </w:p>
        </w:tc>
        <w:tc>
          <w:tcPr>
            <w:tcW w:w="1634" w:type="dxa"/>
          </w:tcPr>
          <w:p w14:paraId="66B7A71D" w14:textId="2101063A" w:rsidR="00173AA4" w:rsidRPr="00807282" w:rsidRDefault="00173AA4" w:rsidP="00173AA4">
            <w:pPr>
              <w:widowControl w:val="0"/>
              <w:pBdr>
                <w:top w:val="nil"/>
                <w:left w:val="nil"/>
                <w:bottom w:val="nil"/>
                <w:right w:val="nil"/>
                <w:between w:val="nil"/>
              </w:pBdr>
              <w:spacing w:line="240" w:lineRule="auto"/>
              <w:jc w:val="center"/>
              <w:rPr>
                <w:b/>
                <w:color w:val="212121"/>
                <w:lang w:val="en-GB"/>
              </w:rPr>
            </w:pPr>
            <w:r w:rsidRPr="00807282">
              <w:rPr>
                <w:b/>
                <w:color w:val="212121"/>
                <w:lang w:val="en-GB"/>
              </w:rPr>
              <w:t>Total 2025</w:t>
            </w:r>
          </w:p>
        </w:tc>
      </w:tr>
      <w:tr w:rsidR="00BD52FF" w:rsidRPr="00807282" w14:paraId="53EAD2D4" w14:textId="2E92F6C7" w:rsidTr="00BD52FF">
        <w:trPr>
          <w:trHeight w:val="229"/>
        </w:trPr>
        <w:tc>
          <w:tcPr>
            <w:tcW w:w="3684" w:type="dxa"/>
            <w:shd w:val="clear" w:color="auto" w:fill="auto"/>
            <w:tcMar>
              <w:top w:w="100" w:type="dxa"/>
              <w:left w:w="100" w:type="dxa"/>
              <w:bottom w:w="100" w:type="dxa"/>
              <w:right w:w="100" w:type="dxa"/>
            </w:tcMar>
          </w:tcPr>
          <w:p w14:paraId="31754F1E" w14:textId="0F1E8171"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Project Manager (FTE=1)</w:t>
            </w:r>
          </w:p>
        </w:tc>
        <w:tc>
          <w:tcPr>
            <w:tcW w:w="1980" w:type="dxa"/>
            <w:shd w:val="clear" w:color="auto" w:fill="auto"/>
            <w:tcMar>
              <w:top w:w="100" w:type="dxa"/>
              <w:left w:w="100" w:type="dxa"/>
              <w:bottom w:w="100" w:type="dxa"/>
              <w:right w:w="100" w:type="dxa"/>
            </w:tcMar>
            <w:vAlign w:val="bottom"/>
          </w:tcPr>
          <w:p w14:paraId="2C3D419E" w14:textId="2CB08D07"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$8,460</w:t>
            </w:r>
          </w:p>
        </w:tc>
        <w:tc>
          <w:tcPr>
            <w:tcW w:w="1980" w:type="dxa"/>
            <w:shd w:val="clear" w:color="auto" w:fill="auto"/>
            <w:tcMar>
              <w:top w:w="100" w:type="dxa"/>
              <w:left w:w="100" w:type="dxa"/>
              <w:bottom w:w="100" w:type="dxa"/>
              <w:right w:w="100" w:type="dxa"/>
            </w:tcMar>
            <w:vAlign w:val="bottom"/>
          </w:tcPr>
          <w:p w14:paraId="450B0C7C" w14:textId="20712ADF"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$16,920</w:t>
            </w:r>
          </w:p>
        </w:tc>
        <w:tc>
          <w:tcPr>
            <w:tcW w:w="1634" w:type="dxa"/>
            <w:vAlign w:val="bottom"/>
          </w:tcPr>
          <w:p w14:paraId="5711F1B4" w14:textId="30867266"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$25,380</w:t>
            </w:r>
          </w:p>
        </w:tc>
      </w:tr>
      <w:tr w:rsidR="00BD52FF" w:rsidRPr="00807282" w14:paraId="1EA72828" w14:textId="6049DC29" w:rsidTr="00BD52FF">
        <w:trPr>
          <w:trHeight w:val="141"/>
        </w:trPr>
        <w:tc>
          <w:tcPr>
            <w:tcW w:w="3684" w:type="dxa"/>
            <w:shd w:val="clear" w:color="auto" w:fill="auto"/>
            <w:tcMar>
              <w:top w:w="100" w:type="dxa"/>
              <w:left w:w="100" w:type="dxa"/>
              <w:bottom w:w="100" w:type="dxa"/>
              <w:right w:w="100" w:type="dxa"/>
            </w:tcMar>
            <w:vAlign w:val="bottom"/>
          </w:tcPr>
          <w:p w14:paraId="686C2910" w14:textId="75DD7A4B"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Travel to IOC Meetings</w:t>
            </w:r>
          </w:p>
        </w:tc>
        <w:tc>
          <w:tcPr>
            <w:tcW w:w="1980" w:type="dxa"/>
            <w:shd w:val="clear" w:color="auto" w:fill="auto"/>
            <w:tcMar>
              <w:top w:w="100" w:type="dxa"/>
              <w:left w:w="100" w:type="dxa"/>
              <w:bottom w:w="100" w:type="dxa"/>
              <w:right w:w="100" w:type="dxa"/>
            </w:tcMar>
            <w:vAlign w:val="bottom"/>
          </w:tcPr>
          <w:p w14:paraId="361EC747" w14:textId="4CA98A81" w:rsidR="00BD52FF" w:rsidRPr="00807282" w:rsidRDefault="00BD52FF" w:rsidP="00BD52FF">
            <w:pPr>
              <w:widowControl w:val="0"/>
              <w:spacing w:line="240" w:lineRule="auto"/>
              <w:rPr>
                <w:color w:val="212121"/>
                <w:lang w:val="en-GB"/>
              </w:rPr>
            </w:pPr>
            <w:r w:rsidRPr="00807282">
              <w:rPr>
                <w:color w:val="000000"/>
                <w:sz w:val="20"/>
                <w:szCs w:val="20"/>
                <w:lang w:val="en-GB"/>
              </w:rPr>
              <w:t>$4,500</w:t>
            </w:r>
          </w:p>
        </w:tc>
        <w:tc>
          <w:tcPr>
            <w:tcW w:w="1980" w:type="dxa"/>
            <w:shd w:val="clear" w:color="auto" w:fill="auto"/>
            <w:tcMar>
              <w:top w:w="100" w:type="dxa"/>
              <w:left w:w="100" w:type="dxa"/>
              <w:bottom w:w="100" w:type="dxa"/>
              <w:right w:w="100" w:type="dxa"/>
            </w:tcMar>
            <w:vAlign w:val="bottom"/>
          </w:tcPr>
          <w:p w14:paraId="55CFC436" w14:textId="1F334910"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$4,500</w:t>
            </w:r>
          </w:p>
        </w:tc>
        <w:tc>
          <w:tcPr>
            <w:tcW w:w="1634" w:type="dxa"/>
            <w:vAlign w:val="bottom"/>
          </w:tcPr>
          <w:p w14:paraId="0C90002B" w14:textId="0D86A842"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$9,000</w:t>
            </w:r>
          </w:p>
        </w:tc>
      </w:tr>
      <w:tr w:rsidR="00BD52FF" w:rsidRPr="00807282" w14:paraId="17C0BB31" w14:textId="7C954B43" w:rsidTr="00467963">
        <w:trPr>
          <w:trHeight w:val="205"/>
        </w:trPr>
        <w:tc>
          <w:tcPr>
            <w:tcW w:w="3684" w:type="dxa"/>
            <w:shd w:val="clear" w:color="auto" w:fill="auto"/>
            <w:tcMar>
              <w:top w:w="100" w:type="dxa"/>
              <w:left w:w="100" w:type="dxa"/>
              <w:bottom w:w="100" w:type="dxa"/>
              <w:right w:w="100" w:type="dxa"/>
            </w:tcMar>
            <w:vAlign w:val="bottom"/>
          </w:tcPr>
          <w:p w14:paraId="44D95AE7" w14:textId="1D50300C"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OBPS Annual Workshop</w:t>
            </w:r>
          </w:p>
        </w:tc>
        <w:tc>
          <w:tcPr>
            <w:tcW w:w="1980" w:type="dxa"/>
            <w:shd w:val="clear" w:color="auto" w:fill="auto"/>
            <w:tcMar>
              <w:top w:w="100" w:type="dxa"/>
              <w:left w:w="100" w:type="dxa"/>
              <w:bottom w:w="100" w:type="dxa"/>
              <w:right w:w="100" w:type="dxa"/>
            </w:tcMar>
            <w:vAlign w:val="bottom"/>
          </w:tcPr>
          <w:p w14:paraId="61813C43" w14:textId="284FF96D" w:rsidR="00BD52FF" w:rsidRPr="00807282" w:rsidRDefault="00BD52FF" w:rsidP="00BD52FF">
            <w:pPr>
              <w:widowControl w:val="0"/>
              <w:spacing w:line="240" w:lineRule="auto"/>
              <w:rPr>
                <w:color w:val="212121"/>
                <w:lang w:val="en-GB"/>
              </w:rPr>
            </w:pPr>
            <w:r w:rsidRPr="00807282">
              <w:rPr>
                <w:color w:val="000000"/>
                <w:sz w:val="20"/>
                <w:szCs w:val="20"/>
                <w:lang w:val="en-GB"/>
              </w:rPr>
              <w:t>$0</w:t>
            </w:r>
          </w:p>
        </w:tc>
        <w:tc>
          <w:tcPr>
            <w:tcW w:w="1980" w:type="dxa"/>
            <w:shd w:val="clear" w:color="auto" w:fill="auto"/>
            <w:tcMar>
              <w:top w:w="100" w:type="dxa"/>
              <w:left w:w="100" w:type="dxa"/>
              <w:bottom w:w="100" w:type="dxa"/>
              <w:right w:w="100" w:type="dxa"/>
            </w:tcMar>
            <w:vAlign w:val="bottom"/>
          </w:tcPr>
          <w:p w14:paraId="35F1C935" w14:textId="1F20A5DD"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$10,000</w:t>
            </w:r>
          </w:p>
        </w:tc>
        <w:tc>
          <w:tcPr>
            <w:tcW w:w="1634" w:type="dxa"/>
            <w:vAlign w:val="bottom"/>
          </w:tcPr>
          <w:p w14:paraId="067531B8" w14:textId="4287CBE7"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$10,000</w:t>
            </w:r>
          </w:p>
        </w:tc>
      </w:tr>
      <w:tr w:rsidR="00BD52FF" w:rsidRPr="00807282" w14:paraId="07EF9F88" w14:textId="77777777" w:rsidTr="009C1F8D">
        <w:trPr>
          <w:trHeight w:val="269"/>
        </w:trPr>
        <w:tc>
          <w:tcPr>
            <w:tcW w:w="3684" w:type="dxa"/>
            <w:shd w:val="clear" w:color="auto" w:fill="auto"/>
            <w:tcMar>
              <w:top w:w="100" w:type="dxa"/>
              <w:left w:w="100" w:type="dxa"/>
              <w:bottom w:w="100" w:type="dxa"/>
              <w:right w:w="100" w:type="dxa"/>
            </w:tcMar>
            <w:vAlign w:val="bottom"/>
          </w:tcPr>
          <w:p w14:paraId="561DC385" w14:textId="1887D98E"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SG-OBPS Annual Meeting</w:t>
            </w:r>
          </w:p>
        </w:tc>
        <w:tc>
          <w:tcPr>
            <w:tcW w:w="1980" w:type="dxa"/>
            <w:shd w:val="clear" w:color="auto" w:fill="auto"/>
            <w:tcMar>
              <w:top w:w="100" w:type="dxa"/>
              <w:left w:w="100" w:type="dxa"/>
              <w:bottom w:w="100" w:type="dxa"/>
              <w:right w:w="100" w:type="dxa"/>
            </w:tcMar>
            <w:vAlign w:val="bottom"/>
          </w:tcPr>
          <w:p w14:paraId="4EE2ADFE" w14:textId="2EB1D622" w:rsidR="00BD52FF" w:rsidRPr="00807282" w:rsidRDefault="00BD52FF" w:rsidP="00BD52FF">
            <w:pPr>
              <w:widowControl w:val="0"/>
              <w:spacing w:line="240" w:lineRule="auto"/>
              <w:rPr>
                <w:color w:val="212121"/>
                <w:lang w:val="en-GB"/>
              </w:rPr>
            </w:pPr>
            <w:r w:rsidRPr="00807282">
              <w:rPr>
                <w:color w:val="000000"/>
                <w:sz w:val="20"/>
                <w:szCs w:val="20"/>
                <w:lang w:val="en-GB"/>
              </w:rPr>
              <w:t>$0</w:t>
            </w:r>
          </w:p>
        </w:tc>
        <w:tc>
          <w:tcPr>
            <w:tcW w:w="1980" w:type="dxa"/>
            <w:shd w:val="clear" w:color="auto" w:fill="auto"/>
            <w:tcMar>
              <w:top w:w="100" w:type="dxa"/>
              <w:left w:w="100" w:type="dxa"/>
              <w:bottom w:w="100" w:type="dxa"/>
              <w:right w:w="100" w:type="dxa"/>
            </w:tcMar>
            <w:vAlign w:val="bottom"/>
          </w:tcPr>
          <w:p w14:paraId="6939B998" w14:textId="77709D02"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$25,000</w:t>
            </w:r>
          </w:p>
        </w:tc>
        <w:tc>
          <w:tcPr>
            <w:tcW w:w="1634" w:type="dxa"/>
            <w:vAlign w:val="bottom"/>
          </w:tcPr>
          <w:p w14:paraId="6691F1A1" w14:textId="36443A95"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$25,000</w:t>
            </w:r>
          </w:p>
        </w:tc>
      </w:tr>
      <w:tr w:rsidR="00BD52FF" w:rsidRPr="00807282" w14:paraId="085C4641" w14:textId="77777777" w:rsidTr="00281F9E">
        <w:trPr>
          <w:trHeight w:val="139"/>
        </w:trPr>
        <w:tc>
          <w:tcPr>
            <w:tcW w:w="3684" w:type="dxa"/>
            <w:shd w:val="clear" w:color="auto" w:fill="auto"/>
            <w:tcMar>
              <w:top w:w="100" w:type="dxa"/>
              <w:left w:w="100" w:type="dxa"/>
              <w:bottom w:w="100" w:type="dxa"/>
              <w:right w:w="100" w:type="dxa"/>
            </w:tcMar>
            <w:vAlign w:val="bottom"/>
          </w:tcPr>
          <w:p w14:paraId="459C588D" w14:textId="1578DF20"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Promotional Material</w:t>
            </w:r>
          </w:p>
        </w:tc>
        <w:tc>
          <w:tcPr>
            <w:tcW w:w="1980" w:type="dxa"/>
            <w:shd w:val="clear" w:color="auto" w:fill="auto"/>
            <w:tcMar>
              <w:top w:w="100" w:type="dxa"/>
              <w:left w:w="100" w:type="dxa"/>
              <w:bottom w:w="100" w:type="dxa"/>
              <w:right w:w="100" w:type="dxa"/>
            </w:tcMar>
            <w:vAlign w:val="bottom"/>
          </w:tcPr>
          <w:p w14:paraId="19FDF157" w14:textId="59148E3D" w:rsidR="00BD52FF" w:rsidRPr="00807282" w:rsidRDefault="00BD52FF" w:rsidP="00BD52FF">
            <w:pPr>
              <w:widowControl w:val="0"/>
              <w:spacing w:line="240" w:lineRule="auto"/>
              <w:rPr>
                <w:color w:val="212121"/>
                <w:lang w:val="en-GB"/>
              </w:rPr>
            </w:pPr>
            <w:r w:rsidRPr="00807282">
              <w:rPr>
                <w:color w:val="000000"/>
                <w:sz w:val="20"/>
                <w:szCs w:val="20"/>
                <w:lang w:val="en-GB"/>
              </w:rPr>
              <w:t>$2,500</w:t>
            </w:r>
          </w:p>
        </w:tc>
        <w:tc>
          <w:tcPr>
            <w:tcW w:w="1980" w:type="dxa"/>
            <w:shd w:val="clear" w:color="auto" w:fill="auto"/>
            <w:tcMar>
              <w:top w:w="100" w:type="dxa"/>
              <w:left w:w="100" w:type="dxa"/>
              <w:bottom w:w="100" w:type="dxa"/>
              <w:right w:w="100" w:type="dxa"/>
            </w:tcMar>
            <w:vAlign w:val="bottom"/>
          </w:tcPr>
          <w:p w14:paraId="3E206176" w14:textId="04A19C2C"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$2,500</w:t>
            </w:r>
          </w:p>
        </w:tc>
        <w:tc>
          <w:tcPr>
            <w:tcW w:w="1634" w:type="dxa"/>
            <w:vAlign w:val="bottom"/>
          </w:tcPr>
          <w:p w14:paraId="7B47B0F3" w14:textId="46F0E793" w:rsidR="00BD52FF" w:rsidRPr="00807282" w:rsidRDefault="00BD52FF" w:rsidP="00BD52FF">
            <w:pPr>
              <w:widowControl w:val="0"/>
              <w:pBdr>
                <w:top w:val="nil"/>
                <w:left w:val="nil"/>
                <w:bottom w:val="nil"/>
                <w:right w:val="nil"/>
                <w:between w:val="nil"/>
              </w:pBdr>
              <w:spacing w:line="240" w:lineRule="auto"/>
              <w:rPr>
                <w:color w:val="212121"/>
                <w:lang w:val="en-GB"/>
              </w:rPr>
            </w:pPr>
            <w:r w:rsidRPr="00807282">
              <w:rPr>
                <w:color w:val="000000"/>
                <w:sz w:val="20"/>
                <w:szCs w:val="20"/>
                <w:lang w:val="en-GB"/>
              </w:rPr>
              <w:t>$5,000</w:t>
            </w:r>
          </w:p>
        </w:tc>
      </w:tr>
      <w:tr w:rsidR="00BD52FF" w:rsidRPr="00807282" w14:paraId="5B504A41" w14:textId="77777777" w:rsidTr="00281F9E">
        <w:trPr>
          <w:trHeight w:val="139"/>
        </w:trPr>
        <w:tc>
          <w:tcPr>
            <w:tcW w:w="3684" w:type="dxa"/>
            <w:shd w:val="clear" w:color="auto" w:fill="auto"/>
            <w:tcMar>
              <w:top w:w="100" w:type="dxa"/>
              <w:left w:w="100" w:type="dxa"/>
              <w:bottom w:w="100" w:type="dxa"/>
              <w:right w:w="100" w:type="dxa"/>
            </w:tcMar>
            <w:vAlign w:val="bottom"/>
          </w:tcPr>
          <w:p w14:paraId="3341E482" w14:textId="56FF0544" w:rsidR="00BD52FF" w:rsidRPr="00807282" w:rsidRDefault="00BD52FF" w:rsidP="00BD52FF">
            <w:pPr>
              <w:widowControl w:val="0"/>
              <w:pBdr>
                <w:top w:val="nil"/>
                <w:left w:val="nil"/>
                <w:bottom w:val="nil"/>
                <w:right w:val="nil"/>
                <w:between w:val="nil"/>
              </w:pBdr>
              <w:spacing w:line="240" w:lineRule="auto"/>
              <w:rPr>
                <w:color w:val="000000"/>
                <w:sz w:val="20"/>
                <w:szCs w:val="20"/>
                <w:lang w:val="en-GB"/>
              </w:rPr>
            </w:pPr>
            <w:r w:rsidRPr="00807282">
              <w:rPr>
                <w:color w:val="000000"/>
                <w:sz w:val="20"/>
                <w:szCs w:val="20"/>
                <w:lang w:val="en-GB"/>
              </w:rPr>
              <w:t>Repository Certification (CTS)</w:t>
            </w:r>
          </w:p>
        </w:tc>
        <w:tc>
          <w:tcPr>
            <w:tcW w:w="1980" w:type="dxa"/>
            <w:shd w:val="clear" w:color="auto" w:fill="auto"/>
            <w:tcMar>
              <w:top w:w="100" w:type="dxa"/>
              <w:left w:w="100" w:type="dxa"/>
              <w:bottom w:w="100" w:type="dxa"/>
              <w:right w:w="100" w:type="dxa"/>
            </w:tcMar>
            <w:vAlign w:val="bottom"/>
          </w:tcPr>
          <w:p w14:paraId="01E82498" w14:textId="1079DCE5" w:rsidR="00BD52FF" w:rsidRPr="00807282" w:rsidRDefault="00BD52FF" w:rsidP="00BD52FF">
            <w:pPr>
              <w:widowControl w:val="0"/>
              <w:spacing w:line="240" w:lineRule="auto"/>
              <w:rPr>
                <w:color w:val="000000"/>
                <w:sz w:val="20"/>
                <w:szCs w:val="20"/>
                <w:lang w:val="en-GB"/>
              </w:rPr>
            </w:pPr>
            <w:r w:rsidRPr="00807282">
              <w:rPr>
                <w:color w:val="000000"/>
                <w:sz w:val="20"/>
                <w:szCs w:val="20"/>
                <w:lang w:val="en-GB"/>
              </w:rPr>
              <w:t>$0</w:t>
            </w:r>
          </w:p>
        </w:tc>
        <w:tc>
          <w:tcPr>
            <w:tcW w:w="1980" w:type="dxa"/>
            <w:shd w:val="clear" w:color="auto" w:fill="auto"/>
            <w:tcMar>
              <w:top w:w="100" w:type="dxa"/>
              <w:left w:w="100" w:type="dxa"/>
              <w:bottom w:w="100" w:type="dxa"/>
              <w:right w:w="100" w:type="dxa"/>
            </w:tcMar>
            <w:vAlign w:val="bottom"/>
          </w:tcPr>
          <w:p w14:paraId="41D08298" w14:textId="2E1BF2D7" w:rsidR="00BD52FF" w:rsidRPr="00807282" w:rsidRDefault="00BD52FF" w:rsidP="00BD52FF">
            <w:pPr>
              <w:widowControl w:val="0"/>
              <w:pBdr>
                <w:top w:val="nil"/>
                <w:left w:val="nil"/>
                <w:bottom w:val="nil"/>
                <w:right w:val="nil"/>
                <w:between w:val="nil"/>
              </w:pBdr>
              <w:spacing w:line="240" w:lineRule="auto"/>
              <w:rPr>
                <w:color w:val="000000"/>
                <w:sz w:val="20"/>
                <w:szCs w:val="20"/>
                <w:lang w:val="en-GB"/>
              </w:rPr>
            </w:pPr>
            <w:r w:rsidRPr="00807282">
              <w:rPr>
                <w:color w:val="000000"/>
                <w:sz w:val="20"/>
                <w:szCs w:val="20"/>
                <w:lang w:val="en-GB"/>
              </w:rPr>
              <w:t>$4,000</w:t>
            </w:r>
          </w:p>
        </w:tc>
        <w:tc>
          <w:tcPr>
            <w:tcW w:w="1634" w:type="dxa"/>
            <w:vAlign w:val="bottom"/>
          </w:tcPr>
          <w:p w14:paraId="772ED939" w14:textId="013FFE0C" w:rsidR="00BD52FF" w:rsidRPr="00807282" w:rsidRDefault="00BD52FF" w:rsidP="00BD52FF">
            <w:pPr>
              <w:widowControl w:val="0"/>
              <w:pBdr>
                <w:top w:val="nil"/>
                <w:left w:val="nil"/>
                <w:bottom w:val="nil"/>
                <w:right w:val="nil"/>
                <w:between w:val="nil"/>
              </w:pBdr>
              <w:spacing w:line="240" w:lineRule="auto"/>
              <w:rPr>
                <w:color w:val="000000"/>
                <w:sz w:val="20"/>
                <w:szCs w:val="20"/>
                <w:lang w:val="en-GB"/>
              </w:rPr>
            </w:pPr>
            <w:r w:rsidRPr="00807282">
              <w:rPr>
                <w:color w:val="000000"/>
                <w:sz w:val="20"/>
                <w:szCs w:val="20"/>
                <w:lang w:val="en-GB"/>
              </w:rPr>
              <w:t>$4,000</w:t>
            </w:r>
          </w:p>
        </w:tc>
      </w:tr>
      <w:tr w:rsidR="00BD52FF" w:rsidRPr="00807282" w14:paraId="0A965C85" w14:textId="77777777" w:rsidTr="00281F9E">
        <w:trPr>
          <w:trHeight w:val="139"/>
        </w:trPr>
        <w:tc>
          <w:tcPr>
            <w:tcW w:w="3684" w:type="dxa"/>
            <w:shd w:val="clear" w:color="auto" w:fill="auto"/>
            <w:tcMar>
              <w:top w:w="100" w:type="dxa"/>
              <w:left w:w="100" w:type="dxa"/>
              <w:bottom w:w="100" w:type="dxa"/>
              <w:right w:w="100" w:type="dxa"/>
            </w:tcMar>
            <w:vAlign w:val="bottom"/>
          </w:tcPr>
          <w:p w14:paraId="194260C1" w14:textId="60F80DD3" w:rsidR="00BD52FF" w:rsidRPr="00807282" w:rsidRDefault="00BD52FF" w:rsidP="00BD52FF">
            <w:pPr>
              <w:widowControl w:val="0"/>
              <w:pBdr>
                <w:top w:val="nil"/>
                <w:left w:val="nil"/>
                <w:bottom w:val="nil"/>
                <w:right w:val="nil"/>
                <w:between w:val="nil"/>
              </w:pBdr>
              <w:spacing w:line="240" w:lineRule="auto"/>
              <w:rPr>
                <w:color w:val="000000"/>
                <w:sz w:val="20"/>
                <w:szCs w:val="20"/>
                <w:lang w:val="en-GB"/>
              </w:rPr>
            </w:pPr>
            <w:r w:rsidRPr="00807282">
              <w:rPr>
                <w:color w:val="000000"/>
                <w:sz w:val="20"/>
                <w:szCs w:val="20"/>
                <w:lang w:val="en-GB"/>
              </w:rPr>
              <w:t>AWS Subscription</w:t>
            </w:r>
          </w:p>
        </w:tc>
        <w:tc>
          <w:tcPr>
            <w:tcW w:w="1980" w:type="dxa"/>
            <w:shd w:val="clear" w:color="auto" w:fill="auto"/>
            <w:tcMar>
              <w:top w:w="100" w:type="dxa"/>
              <w:left w:w="100" w:type="dxa"/>
              <w:bottom w:w="100" w:type="dxa"/>
              <w:right w:w="100" w:type="dxa"/>
            </w:tcMar>
            <w:vAlign w:val="bottom"/>
          </w:tcPr>
          <w:p w14:paraId="2286898E" w14:textId="273744E6" w:rsidR="00BD52FF" w:rsidRPr="00807282" w:rsidRDefault="00BD52FF" w:rsidP="00BD52FF">
            <w:pPr>
              <w:widowControl w:val="0"/>
              <w:spacing w:line="240" w:lineRule="auto"/>
              <w:rPr>
                <w:color w:val="000000"/>
                <w:sz w:val="20"/>
                <w:szCs w:val="20"/>
                <w:lang w:val="en-GB"/>
              </w:rPr>
            </w:pPr>
            <w:r w:rsidRPr="00807282">
              <w:rPr>
                <w:color w:val="000000"/>
                <w:sz w:val="20"/>
                <w:szCs w:val="20"/>
                <w:lang w:val="en-GB"/>
              </w:rPr>
              <w:t>$4,500</w:t>
            </w:r>
          </w:p>
        </w:tc>
        <w:tc>
          <w:tcPr>
            <w:tcW w:w="1980" w:type="dxa"/>
            <w:shd w:val="clear" w:color="auto" w:fill="auto"/>
            <w:tcMar>
              <w:top w:w="100" w:type="dxa"/>
              <w:left w:w="100" w:type="dxa"/>
              <w:bottom w:w="100" w:type="dxa"/>
              <w:right w:w="100" w:type="dxa"/>
            </w:tcMar>
            <w:vAlign w:val="bottom"/>
          </w:tcPr>
          <w:p w14:paraId="1E57E454" w14:textId="0E5AFEF4" w:rsidR="00BD52FF" w:rsidRPr="00807282" w:rsidRDefault="00BD52FF" w:rsidP="00BD52FF">
            <w:pPr>
              <w:widowControl w:val="0"/>
              <w:pBdr>
                <w:top w:val="nil"/>
                <w:left w:val="nil"/>
                <w:bottom w:val="nil"/>
                <w:right w:val="nil"/>
                <w:between w:val="nil"/>
              </w:pBdr>
              <w:spacing w:line="240" w:lineRule="auto"/>
              <w:rPr>
                <w:color w:val="000000"/>
                <w:sz w:val="20"/>
                <w:szCs w:val="20"/>
                <w:lang w:val="en-GB"/>
              </w:rPr>
            </w:pPr>
            <w:r w:rsidRPr="00807282">
              <w:rPr>
                <w:color w:val="000000"/>
                <w:sz w:val="20"/>
                <w:szCs w:val="20"/>
                <w:lang w:val="en-GB"/>
              </w:rPr>
              <w:t>$4,500</w:t>
            </w:r>
          </w:p>
        </w:tc>
        <w:tc>
          <w:tcPr>
            <w:tcW w:w="1634" w:type="dxa"/>
            <w:vAlign w:val="bottom"/>
          </w:tcPr>
          <w:p w14:paraId="2CDF38E4" w14:textId="53F3907C" w:rsidR="00BD52FF" w:rsidRPr="00807282" w:rsidRDefault="00BD52FF" w:rsidP="00BD52FF">
            <w:pPr>
              <w:widowControl w:val="0"/>
              <w:pBdr>
                <w:top w:val="nil"/>
                <w:left w:val="nil"/>
                <w:bottom w:val="nil"/>
                <w:right w:val="nil"/>
                <w:between w:val="nil"/>
              </w:pBdr>
              <w:spacing w:line="240" w:lineRule="auto"/>
              <w:rPr>
                <w:color w:val="000000"/>
                <w:sz w:val="20"/>
                <w:szCs w:val="20"/>
                <w:lang w:val="en-GB"/>
              </w:rPr>
            </w:pPr>
            <w:r w:rsidRPr="00807282">
              <w:rPr>
                <w:color w:val="000000"/>
                <w:sz w:val="20"/>
                <w:szCs w:val="20"/>
                <w:lang w:val="en-GB"/>
              </w:rPr>
              <w:t>$9,000</w:t>
            </w:r>
          </w:p>
        </w:tc>
      </w:tr>
      <w:tr w:rsidR="00BD52FF" w:rsidRPr="00807282" w14:paraId="0495DB6D" w14:textId="77777777" w:rsidTr="00BD52FF">
        <w:trPr>
          <w:trHeight w:val="97"/>
        </w:trPr>
        <w:tc>
          <w:tcPr>
            <w:tcW w:w="3684" w:type="dxa"/>
            <w:shd w:val="clear" w:color="auto" w:fill="auto"/>
            <w:tcMar>
              <w:top w:w="100" w:type="dxa"/>
              <w:left w:w="100" w:type="dxa"/>
              <w:bottom w:w="100" w:type="dxa"/>
              <w:right w:w="100" w:type="dxa"/>
            </w:tcMar>
            <w:vAlign w:val="bottom"/>
          </w:tcPr>
          <w:p w14:paraId="3956EEF5" w14:textId="19FDE0F0" w:rsidR="00BD52FF" w:rsidRPr="00807282" w:rsidRDefault="00BD52FF" w:rsidP="00BD52FF">
            <w:pPr>
              <w:widowControl w:val="0"/>
              <w:pBdr>
                <w:top w:val="nil"/>
                <w:left w:val="nil"/>
                <w:bottom w:val="nil"/>
                <w:right w:val="nil"/>
                <w:between w:val="nil"/>
              </w:pBdr>
              <w:spacing w:line="240" w:lineRule="auto"/>
              <w:rPr>
                <w:color w:val="000000"/>
                <w:sz w:val="20"/>
                <w:szCs w:val="20"/>
                <w:lang w:val="en-GB"/>
              </w:rPr>
            </w:pPr>
            <w:r w:rsidRPr="00807282">
              <w:rPr>
                <w:b/>
                <w:bCs/>
                <w:color w:val="000000"/>
                <w:sz w:val="20"/>
                <w:szCs w:val="20"/>
                <w:lang w:val="en-GB"/>
              </w:rPr>
              <w:t>Total</w:t>
            </w:r>
          </w:p>
        </w:tc>
        <w:tc>
          <w:tcPr>
            <w:tcW w:w="1980" w:type="dxa"/>
            <w:shd w:val="clear" w:color="auto" w:fill="auto"/>
            <w:tcMar>
              <w:top w:w="100" w:type="dxa"/>
              <w:left w:w="100" w:type="dxa"/>
              <w:bottom w:w="100" w:type="dxa"/>
              <w:right w:w="100" w:type="dxa"/>
            </w:tcMar>
            <w:vAlign w:val="bottom"/>
          </w:tcPr>
          <w:p w14:paraId="571A11C8" w14:textId="3BAB18AD" w:rsidR="00BD52FF" w:rsidRPr="00807282" w:rsidRDefault="00BD52FF" w:rsidP="00BD52FF">
            <w:pPr>
              <w:widowControl w:val="0"/>
              <w:spacing w:line="240" w:lineRule="auto"/>
              <w:rPr>
                <w:color w:val="000000"/>
                <w:sz w:val="20"/>
                <w:szCs w:val="20"/>
                <w:lang w:val="en-GB"/>
              </w:rPr>
            </w:pPr>
            <w:r w:rsidRPr="00807282">
              <w:rPr>
                <w:b/>
                <w:bCs/>
                <w:color w:val="000000"/>
                <w:sz w:val="20"/>
                <w:szCs w:val="20"/>
                <w:lang w:val="en-GB"/>
              </w:rPr>
              <w:t>$19,960</w:t>
            </w:r>
          </w:p>
        </w:tc>
        <w:tc>
          <w:tcPr>
            <w:tcW w:w="1980" w:type="dxa"/>
            <w:shd w:val="clear" w:color="auto" w:fill="auto"/>
            <w:tcMar>
              <w:top w:w="100" w:type="dxa"/>
              <w:left w:w="100" w:type="dxa"/>
              <w:bottom w:w="100" w:type="dxa"/>
              <w:right w:w="100" w:type="dxa"/>
            </w:tcMar>
            <w:vAlign w:val="bottom"/>
          </w:tcPr>
          <w:p w14:paraId="1E290B43" w14:textId="2DDE753F" w:rsidR="00BD52FF" w:rsidRPr="00807282" w:rsidRDefault="00BD52FF" w:rsidP="00BD52FF">
            <w:pPr>
              <w:widowControl w:val="0"/>
              <w:pBdr>
                <w:top w:val="nil"/>
                <w:left w:val="nil"/>
                <w:bottom w:val="nil"/>
                <w:right w:val="nil"/>
                <w:between w:val="nil"/>
              </w:pBdr>
              <w:spacing w:line="240" w:lineRule="auto"/>
              <w:rPr>
                <w:color w:val="000000"/>
                <w:sz w:val="20"/>
                <w:szCs w:val="20"/>
                <w:lang w:val="en-GB"/>
              </w:rPr>
            </w:pPr>
            <w:r w:rsidRPr="00807282">
              <w:rPr>
                <w:b/>
                <w:bCs/>
                <w:color w:val="000000"/>
                <w:sz w:val="20"/>
                <w:szCs w:val="20"/>
                <w:lang w:val="en-GB"/>
              </w:rPr>
              <w:t>$67,420</w:t>
            </w:r>
          </w:p>
        </w:tc>
        <w:tc>
          <w:tcPr>
            <w:tcW w:w="1634" w:type="dxa"/>
            <w:vAlign w:val="bottom"/>
          </w:tcPr>
          <w:p w14:paraId="4A44C7E7" w14:textId="77777777" w:rsidR="00BD52FF" w:rsidRPr="00807282" w:rsidRDefault="00BD52FF" w:rsidP="00BD52FF">
            <w:pPr>
              <w:pStyle w:val="NormalWeb"/>
              <w:spacing w:before="0" w:beforeAutospacing="0" w:after="0" w:afterAutospacing="0"/>
              <w:jc w:val="center"/>
              <w:rPr>
                <w:lang w:val="en-GB"/>
              </w:rPr>
            </w:pPr>
            <w:r w:rsidRPr="00807282">
              <w:rPr>
                <w:rFonts w:ascii="Arial" w:hAnsi="Arial" w:cs="Arial"/>
                <w:b/>
                <w:bCs/>
                <w:color w:val="000000"/>
                <w:sz w:val="20"/>
                <w:szCs w:val="20"/>
                <w:lang w:val="en-GB"/>
              </w:rPr>
              <w:t> </w:t>
            </w:r>
          </w:p>
          <w:p w14:paraId="27A1C882" w14:textId="4BB5D6D6" w:rsidR="00BD52FF" w:rsidRPr="00807282" w:rsidRDefault="00BD52FF" w:rsidP="00BD52FF">
            <w:pPr>
              <w:widowControl w:val="0"/>
              <w:pBdr>
                <w:top w:val="nil"/>
                <w:left w:val="nil"/>
                <w:bottom w:val="nil"/>
                <w:right w:val="nil"/>
                <w:between w:val="nil"/>
              </w:pBdr>
              <w:spacing w:line="240" w:lineRule="auto"/>
              <w:rPr>
                <w:color w:val="000000"/>
                <w:sz w:val="20"/>
                <w:szCs w:val="20"/>
                <w:lang w:val="en-GB"/>
              </w:rPr>
            </w:pPr>
            <w:r w:rsidRPr="00807282">
              <w:rPr>
                <w:b/>
                <w:bCs/>
                <w:color w:val="000000"/>
                <w:sz w:val="20"/>
                <w:szCs w:val="20"/>
                <w:lang w:val="en-GB"/>
              </w:rPr>
              <w:t>$87,380</w:t>
            </w:r>
          </w:p>
        </w:tc>
      </w:tr>
    </w:tbl>
    <w:p w14:paraId="6993F1C0" w14:textId="77777777" w:rsidR="0075150A" w:rsidRPr="00807282" w:rsidRDefault="0075150A">
      <w:pPr>
        <w:rPr>
          <w:color w:val="212121"/>
          <w:sz w:val="24"/>
          <w:szCs w:val="24"/>
          <w:lang w:val="en-GB"/>
        </w:rPr>
      </w:pPr>
    </w:p>
    <w:p w14:paraId="6BAE3009" w14:textId="77777777" w:rsidR="0075150A" w:rsidRPr="00807282" w:rsidRDefault="0075150A">
      <w:pPr>
        <w:rPr>
          <w:color w:val="212121"/>
          <w:sz w:val="24"/>
          <w:szCs w:val="24"/>
          <w:lang w:val="en-GB"/>
        </w:rPr>
      </w:pPr>
    </w:p>
    <w:p w14:paraId="1475A895" w14:textId="77777777" w:rsidR="0075150A" w:rsidRPr="00807282" w:rsidRDefault="0075150A">
      <w:pPr>
        <w:rPr>
          <w:color w:val="212121"/>
          <w:sz w:val="24"/>
          <w:szCs w:val="24"/>
          <w:lang w:val="en-GB"/>
        </w:rPr>
      </w:pPr>
    </w:p>
    <w:p w14:paraId="00D11168" w14:textId="77777777" w:rsidR="0075150A" w:rsidRPr="00807282" w:rsidRDefault="00000000">
      <w:pPr>
        <w:pStyle w:val="Heading1"/>
        <w:spacing w:before="0" w:after="0"/>
        <w:rPr>
          <w:sz w:val="18"/>
          <w:szCs w:val="18"/>
          <w:lang w:val="en-GB"/>
        </w:rPr>
      </w:pPr>
      <w:bookmarkStart w:id="2" w:name="_y9e7dfysyvzc" w:colFirst="0" w:colLast="0"/>
      <w:bookmarkEnd w:id="2"/>
      <w:r w:rsidRPr="00807282">
        <w:rPr>
          <w:sz w:val="22"/>
          <w:szCs w:val="22"/>
          <w:lang w:val="en-GB"/>
        </w:rPr>
        <w:t>[end of document]</w:t>
      </w:r>
    </w:p>
    <w:p w14:paraId="6F957BE0" w14:textId="77777777" w:rsidR="0075150A" w:rsidRPr="00807282" w:rsidRDefault="0075150A">
      <w:pPr>
        <w:rPr>
          <w:lang w:val="en-GB"/>
        </w:rPr>
      </w:pPr>
    </w:p>
    <w:sectPr w:rsidR="0075150A" w:rsidRPr="00807282" w:rsidSect="00337A8A">
      <w:headerReference w:type="default" r:id="rId9"/>
      <w:footerReference w:type="first" r:id="rId10"/>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550D0" w14:textId="77777777" w:rsidR="005A67A5" w:rsidRDefault="005A67A5" w:rsidP="00337A8A">
      <w:pPr>
        <w:spacing w:line="240" w:lineRule="auto"/>
      </w:pPr>
      <w:r>
        <w:separator/>
      </w:r>
    </w:p>
  </w:endnote>
  <w:endnote w:type="continuationSeparator" w:id="0">
    <w:p w14:paraId="72217872" w14:textId="77777777" w:rsidR="005A67A5" w:rsidRDefault="005A67A5" w:rsidP="00337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80C9" w14:textId="77777777" w:rsidR="00173AA4" w:rsidRDefault="00173AA4">
    <w:pPr>
      <w:pStyle w:val="Footer"/>
      <w:rPr>
        <w:lang w:val="es-ES"/>
      </w:rPr>
    </w:pPr>
  </w:p>
  <w:p w14:paraId="6FF8FBDC" w14:textId="77777777" w:rsidR="00173AA4" w:rsidRPr="00173AA4" w:rsidRDefault="00173AA4">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DF0D" w14:textId="77777777" w:rsidR="005A67A5" w:rsidRDefault="005A67A5" w:rsidP="00337A8A">
      <w:pPr>
        <w:spacing w:line="240" w:lineRule="auto"/>
      </w:pPr>
      <w:r>
        <w:separator/>
      </w:r>
    </w:p>
  </w:footnote>
  <w:footnote w:type="continuationSeparator" w:id="0">
    <w:p w14:paraId="2DFC71BF" w14:textId="77777777" w:rsidR="005A67A5" w:rsidRDefault="005A67A5" w:rsidP="00337A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5219" w14:textId="3C832FA5" w:rsidR="00337A8A" w:rsidRDefault="00337A8A" w:rsidP="00337A8A">
    <w:pPr>
      <w:rPr>
        <w:color w:val="000000"/>
      </w:rPr>
    </w:pPr>
    <w:r>
      <w:rPr>
        <w:color w:val="000000"/>
      </w:rPr>
      <w:t>IOC/IODE-28/</w:t>
    </w:r>
    <w:r w:rsidR="00173AA4">
      <w:rPr>
        <w:rFonts w:ascii="Aptos" w:hAnsi="Aptos"/>
        <w:color w:val="000000"/>
      </w:rPr>
      <w:t>3.4.2.7</w:t>
    </w:r>
  </w:p>
  <w:p w14:paraId="4EC46B8A" w14:textId="77777777" w:rsidR="00337A8A" w:rsidRPr="00EF0A40" w:rsidRDefault="00337A8A" w:rsidP="00337A8A">
    <w:pPr>
      <w:rPr>
        <w:lang w:val="en-US"/>
      </w:rPr>
    </w:pPr>
    <w:r w:rsidRPr="00EF0A40">
      <w:t xml:space="preserve">Page </w:t>
    </w:r>
    <w:r w:rsidRPr="00EF0A40">
      <w:fldChar w:fldCharType="begin"/>
    </w:r>
    <w:r w:rsidRPr="00EF0A40">
      <w:instrText xml:space="preserve"> PAGE </w:instrText>
    </w:r>
    <w:r w:rsidRPr="00EF0A40">
      <w:fldChar w:fldCharType="separate"/>
    </w:r>
    <w:r>
      <w:t>2</w:t>
    </w:r>
    <w:r w:rsidRPr="00EF0A40">
      <w:fldChar w:fldCharType="end"/>
    </w:r>
  </w:p>
  <w:p w14:paraId="6DD7D865" w14:textId="77777777" w:rsidR="00337A8A" w:rsidRDefault="00337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D6727"/>
    <w:multiLevelType w:val="multilevel"/>
    <w:tmpl w:val="0BE48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171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50A"/>
    <w:rsid w:val="00173AA4"/>
    <w:rsid w:val="002037B6"/>
    <w:rsid w:val="003215F8"/>
    <w:rsid w:val="00337A8A"/>
    <w:rsid w:val="00597F70"/>
    <w:rsid w:val="005A67A5"/>
    <w:rsid w:val="00630ADB"/>
    <w:rsid w:val="0075150A"/>
    <w:rsid w:val="00797482"/>
    <w:rsid w:val="007E78EC"/>
    <w:rsid w:val="00807282"/>
    <w:rsid w:val="0098598B"/>
    <w:rsid w:val="00A60A8F"/>
    <w:rsid w:val="00BD52FF"/>
    <w:rsid w:val="00C64509"/>
    <w:rsid w:val="00CD74C2"/>
    <w:rsid w:val="00F6636D"/>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E5C321C"/>
  <w15:docId w15:val="{A5E20CD9-C2D5-4443-9EE0-4C62C8D8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37A8A"/>
    <w:pPr>
      <w:tabs>
        <w:tab w:val="center" w:pos="4680"/>
        <w:tab w:val="right" w:pos="9360"/>
      </w:tabs>
      <w:spacing w:line="240" w:lineRule="auto"/>
    </w:pPr>
  </w:style>
  <w:style w:type="character" w:customStyle="1" w:styleId="HeaderChar">
    <w:name w:val="Header Char"/>
    <w:basedOn w:val="DefaultParagraphFont"/>
    <w:link w:val="Header"/>
    <w:uiPriority w:val="99"/>
    <w:rsid w:val="00337A8A"/>
  </w:style>
  <w:style w:type="paragraph" w:styleId="Footer">
    <w:name w:val="footer"/>
    <w:basedOn w:val="Normal"/>
    <w:link w:val="FooterChar"/>
    <w:uiPriority w:val="99"/>
    <w:unhideWhenUsed/>
    <w:rsid w:val="00337A8A"/>
    <w:pPr>
      <w:tabs>
        <w:tab w:val="center" w:pos="4680"/>
        <w:tab w:val="right" w:pos="9360"/>
      </w:tabs>
      <w:spacing w:line="240" w:lineRule="auto"/>
    </w:pPr>
  </w:style>
  <w:style w:type="character" w:customStyle="1" w:styleId="FooterChar">
    <w:name w:val="Footer Char"/>
    <w:basedOn w:val="DefaultParagraphFont"/>
    <w:link w:val="Footer"/>
    <w:uiPriority w:val="99"/>
    <w:rsid w:val="00337A8A"/>
  </w:style>
  <w:style w:type="paragraph" w:styleId="NormalWeb">
    <w:name w:val="Normal (Web)"/>
    <w:basedOn w:val="Normal"/>
    <w:uiPriority w:val="99"/>
    <w:semiHidden/>
    <w:unhideWhenUsed/>
    <w:rsid w:val="00BD52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D5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55735">
      <w:bodyDiv w:val="1"/>
      <w:marLeft w:val="0"/>
      <w:marRight w:val="0"/>
      <w:marTop w:val="0"/>
      <w:marBottom w:val="0"/>
      <w:divBdr>
        <w:top w:val="none" w:sz="0" w:space="0" w:color="auto"/>
        <w:left w:val="none" w:sz="0" w:space="0" w:color="auto"/>
        <w:bottom w:val="none" w:sz="0" w:space="0" w:color="auto"/>
        <w:right w:val="none" w:sz="0" w:space="0" w:color="auto"/>
      </w:divBdr>
    </w:div>
    <w:div w:id="1095975320">
      <w:bodyDiv w:val="1"/>
      <w:marLeft w:val="0"/>
      <w:marRight w:val="0"/>
      <w:marTop w:val="0"/>
      <w:marBottom w:val="0"/>
      <w:divBdr>
        <w:top w:val="none" w:sz="0" w:space="0" w:color="auto"/>
        <w:left w:val="none" w:sz="0" w:space="0" w:color="auto"/>
        <w:bottom w:val="none" w:sz="0" w:space="0" w:color="auto"/>
        <w:right w:val="none" w:sz="0" w:space="0" w:color="auto"/>
      </w:divBdr>
    </w:div>
    <w:div w:id="1149708653">
      <w:bodyDiv w:val="1"/>
      <w:marLeft w:val="0"/>
      <w:marRight w:val="0"/>
      <w:marTop w:val="0"/>
      <w:marBottom w:val="0"/>
      <w:divBdr>
        <w:top w:val="none" w:sz="0" w:space="0" w:color="auto"/>
        <w:left w:val="none" w:sz="0" w:space="0" w:color="auto"/>
        <w:bottom w:val="none" w:sz="0" w:space="0" w:color="auto"/>
        <w:right w:val="none" w:sz="0" w:space="0" w:color="auto"/>
      </w:divBdr>
    </w:div>
    <w:div w:id="1179737023">
      <w:bodyDiv w:val="1"/>
      <w:marLeft w:val="0"/>
      <w:marRight w:val="0"/>
      <w:marTop w:val="0"/>
      <w:marBottom w:val="0"/>
      <w:divBdr>
        <w:top w:val="none" w:sz="0" w:space="0" w:color="auto"/>
        <w:left w:val="none" w:sz="0" w:space="0" w:color="auto"/>
        <w:bottom w:val="none" w:sz="0" w:space="0" w:color="auto"/>
        <w:right w:val="none" w:sz="0" w:space="0" w:color="auto"/>
      </w:divBdr>
    </w:div>
    <w:div w:id="1185748120">
      <w:bodyDiv w:val="1"/>
      <w:marLeft w:val="0"/>
      <w:marRight w:val="0"/>
      <w:marTop w:val="0"/>
      <w:marBottom w:val="0"/>
      <w:divBdr>
        <w:top w:val="none" w:sz="0" w:space="0" w:color="auto"/>
        <w:left w:val="none" w:sz="0" w:space="0" w:color="auto"/>
        <w:bottom w:val="none" w:sz="0" w:space="0" w:color="auto"/>
        <w:right w:val="none" w:sz="0" w:space="0" w:color="auto"/>
      </w:divBdr>
    </w:div>
    <w:div w:id="1305238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group/448" TargetMode="External"/><Relationship Id="rId3" Type="http://schemas.openxmlformats.org/officeDocument/2006/relationships/settings" Target="settings.xml"/><Relationship Id="rId7" Type="http://schemas.openxmlformats.org/officeDocument/2006/relationships/hyperlink" Target="https://docs.google.com/document/d/1Eqs8S4pjY7JU2Kob_Tre72nnul-MvKfO/edit?usp=sharing&amp;ouid=114966491440731765327&amp;rtpof=true&amp;sd=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Pissierssens, Peter</cp:lastModifiedBy>
  <cp:revision>7</cp:revision>
  <dcterms:created xsi:type="dcterms:W3CDTF">2024-11-21T09:39:00Z</dcterms:created>
  <dcterms:modified xsi:type="dcterms:W3CDTF">2025-01-23T10:57:00Z</dcterms:modified>
</cp:coreProperties>
</file>