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50B6" w:rsidRDefault="00000000">
      <w:pPr>
        <w:pStyle w:val="Heading1"/>
        <w:numPr>
          <w:ilvl w:val="0"/>
          <w:numId w:val="8"/>
        </w:numPr>
        <w:rPr>
          <w:rFonts w:ascii="Arial" w:eastAsia="Arial" w:hAnsi="Arial"/>
          <w:b w:val="0"/>
          <w:sz w:val="22"/>
          <w:szCs w:val="22"/>
        </w:rPr>
      </w:pPr>
      <w:bookmarkStart w:id="0" w:name="_heading=h.gjdgxs" w:colFirst="0" w:colLast="0"/>
      <w:bookmarkEnd w:id="0"/>
      <w:r>
        <w:rPr>
          <w:rFonts w:ascii="Arial" w:eastAsia="Arial" w:hAnsi="Arial"/>
          <w:sz w:val="22"/>
          <w:szCs w:val="22"/>
        </w:rPr>
        <w:t>Introduction</w:t>
      </w:r>
      <w:r>
        <w:rPr>
          <w:noProof/>
        </w:rPr>
        <mc:AlternateContent>
          <mc:Choice Requires="wps">
            <w:drawing>
              <wp:anchor distT="0" distB="0" distL="114300" distR="114300" simplePos="0" relativeHeight="251658240" behindDoc="0" locked="0" layoutInCell="1" hidden="0" allowOverlap="1" wp14:anchorId="37C66757" wp14:editId="51774F1E">
                <wp:simplePos x="0" y="0"/>
                <wp:positionH relativeFrom="column">
                  <wp:posOffset>114300</wp:posOffset>
                </wp:positionH>
                <wp:positionV relativeFrom="paragraph">
                  <wp:posOffset>0</wp:posOffset>
                </wp:positionV>
                <wp:extent cx="0" cy="12700"/>
                <wp:effectExtent l="0" t="0" r="0" b="0"/>
                <wp:wrapNone/>
                <wp:docPr id="2334" name="Straight Arrow Connector 2334"/>
                <wp:cNvGraphicFramePr/>
                <a:graphic xmlns:a="http://schemas.openxmlformats.org/drawingml/2006/main">
                  <a:graphicData uri="http://schemas.microsoft.com/office/word/2010/wordprocessingShape">
                    <wps:wsp>
                      <wps:cNvCnPr/>
                      <wps:spPr>
                        <a:xfrm rot="10800000" flipH="1">
                          <a:off x="5331396" y="4190209"/>
                          <a:ext cx="5783579" cy="30481"/>
                        </a:xfrm>
                        <a:prstGeom prst="straightConnector1">
                          <a:avLst/>
                        </a:prstGeom>
                        <a:solidFill>
                          <a:srgbClr val="FFFFFF"/>
                        </a:solidFill>
                        <a:ln w="12700" cap="flat" cmpd="sng">
                          <a:solidFill>
                            <a:srgbClr val="4472C4"/>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33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000002"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In December 2004, 227,899</w:t>
      </w:r>
      <w:r>
        <w:rPr>
          <w:rFonts w:ascii="Arial" w:eastAsia="Arial" w:hAnsi="Arial" w:cs="Arial"/>
          <w:sz w:val="22"/>
          <w:szCs w:val="22"/>
          <w:vertAlign w:val="superscript"/>
        </w:rPr>
        <w:footnoteReference w:id="1"/>
      </w:r>
      <w:r>
        <w:rPr>
          <w:rFonts w:ascii="Arial" w:eastAsia="Arial" w:hAnsi="Arial" w:cs="Arial"/>
          <w:sz w:val="22"/>
          <w:szCs w:val="22"/>
        </w:rPr>
        <w:t xml:space="preserve"> people lost their lives and around US$10 billion were estimated as overall economic losses in the 14 countries affected by the 9.1-magnitude Indian Ocean earthquake</w:t>
      </w:r>
      <w:r>
        <w:rPr>
          <w:rFonts w:ascii="Arial" w:eastAsia="Arial" w:hAnsi="Arial" w:cs="Arial"/>
          <w:sz w:val="22"/>
          <w:szCs w:val="22"/>
          <w:vertAlign w:val="superscript"/>
        </w:rPr>
        <w:footnoteReference w:id="2"/>
      </w:r>
      <w:r>
        <w:rPr>
          <w:rFonts w:ascii="Arial" w:eastAsia="Arial" w:hAnsi="Arial" w:cs="Arial"/>
          <w:sz w:val="22"/>
          <w:szCs w:val="22"/>
        </w:rPr>
        <w:t>. In response to the devastation caused by the earthquake and consecutive tsunami, the international community reinforced and expanded its initiatives to reduce the tsunami-related risk of coastal communities worldwide.</w:t>
      </w:r>
    </w:p>
    <w:p w14:paraId="00000003"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In response, the Tsunami Unit of the Intergovernmental Oceanographic Commission of UNESCO (UNESCO/IOC) was established. It aims to prevent the loss of lives and livelihoods that are caused by tsunamis, offering its support to IOC Member States in assessing tsunami risk, implementing Tsunami Early Warning Systems (EWS) and educating communities at risk about preparedness measures</w:t>
      </w:r>
      <w:r>
        <w:rPr>
          <w:rFonts w:ascii="Arial" w:eastAsia="Arial" w:hAnsi="Arial" w:cs="Arial"/>
          <w:sz w:val="22"/>
          <w:szCs w:val="22"/>
          <w:highlight w:val="white"/>
          <w:vertAlign w:val="superscript"/>
        </w:rPr>
        <w:footnoteReference w:id="3"/>
      </w:r>
      <w:r>
        <w:rPr>
          <w:rFonts w:ascii="Arial" w:eastAsia="Arial" w:hAnsi="Arial" w:cs="Arial"/>
          <w:sz w:val="22"/>
          <w:szCs w:val="22"/>
        </w:rPr>
        <w:t>.</w:t>
      </w:r>
    </w:p>
    <w:p w14:paraId="00000004"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On 5 December 2017, the United Nations declared that a Decade of Ocean Science for Sustainable Development would be held from 2021 to 2030. The Ocean Decade provides a common framework to ensure that ocean science can fully support countries to achieve the 2030 Agenda for Sustainable Development. </w:t>
      </w:r>
    </w:p>
    <w:p w14:paraId="00000005"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The Ocean Decade provides a ‘once in a lifetime’ opportunity to create a new foundation across the science-policy interface to strengthen the management of our oceans and coasts for the benefit of humanity. The Ocean Decade will strengthen the international cooperation needed to develop the scientific research and innovative technologies that can connect ocean science with the needs of society. </w:t>
      </w:r>
    </w:p>
    <w:p w14:paraId="00000006"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One of the seven outcomes of the Decade is ‘A Safe Ocean’ where life and livelihoods are protected from ocean hazards, such as tsunamis</w:t>
      </w:r>
      <w:r>
        <w:t xml:space="preserve"> </w:t>
      </w:r>
      <w:r>
        <w:rPr>
          <w:rFonts w:ascii="Arial" w:eastAsia="Arial" w:hAnsi="Arial" w:cs="Arial"/>
          <w:sz w:val="22"/>
          <w:szCs w:val="22"/>
        </w:rPr>
        <w:t>In June 2022, the IOC Assembly approved the establishment of the IOC Ocean Decade Tsunami Programme, with an associated aim of making ‘100% of communities at risk of tsunami prepared for and resilient to tsunamis by 2030 through the implementation of the UNESCO/IOC Tsunami Ready Recognition Programme and other initiatives.’</w:t>
      </w:r>
    </w:p>
    <w:p w14:paraId="00000007" w14:textId="77777777" w:rsidR="00ED50B6" w:rsidRDefault="00000000">
      <w:pPr>
        <w:pStyle w:val="Heading1"/>
        <w:numPr>
          <w:ilvl w:val="0"/>
          <w:numId w:val="8"/>
        </w:numPr>
        <w:rPr>
          <w:rFonts w:ascii="Arial" w:eastAsia="Arial" w:hAnsi="Arial"/>
          <w:sz w:val="22"/>
          <w:szCs w:val="22"/>
        </w:rPr>
      </w:pPr>
      <w:r>
        <w:rPr>
          <w:rFonts w:ascii="Arial" w:eastAsia="Arial" w:hAnsi="Arial"/>
          <w:sz w:val="22"/>
          <w:szCs w:val="22"/>
        </w:rPr>
        <w:t xml:space="preserve">The Tsunami Ready Recognition Programme and the concept of </w:t>
      </w:r>
      <w:sdt>
        <w:sdtPr>
          <w:tag w:val="goog_rdk_0"/>
          <w:id w:val="-1472049180"/>
        </w:sdtPr>
        <w:sdtContent>
          <w:commentRangeStart w:id="1"/>
        </w:sdtContent>
      </w:sdt>
      <w:r>
        <w:rPr>
          <w:rFonts w:ascii="Arial" w:eastAsia="Arial" w:hAnsi="Arial"/>
          <w:sz w:val="22"/>
          <w:szCs w:val="22"/>
        </w:rPr>
        <w:t>‘equivalency’</w:t>
      </w:r>
      <w:commentRangeEnd w:id="1"/>
      <w:r>
        <w:commentReference w:id="1"/>
      </w:r>
      <w:r>
        <w:rPr>
          <w:noProof/>
        </w:rPr>
        <mc:AlternateContent>
          <mc:Choice Requires="wps">
            <w:drawing>
              <wp:anchor distT="0" distB="0" distL="114300" distR="114300" simplePos="0" relativeHeight="251659264" behindDoc="0" locked="0" layoutInCell="1" hidden="0" allowOverlap="1" wp14:anchorId="69231BEB" wp14:editId="02F30767">
                <wp:simplePos x="0" y="0"/>
                <wp:positionH relativeFrom="column">
                  <wp:posOffset>114300</wp:posOffset>
                </wp:positionH>
                <wp:positionV relativeFrom="paragraph">
                  <wp:posOffset>0</wp:posOffset>
                </wp:positionV>
                <wp:extent cx="0" cy="12700"/>
                <wp:effectExtent l="0" t="0" r="0" b="0"/>
                <wp:wrapNone/>
                <wp:docPr id="2337" name="Straight Arrow Connector 2337"/>
                <wp:cNvGraphicFramePr/>
                <a:graphic xmlns:a="http://schemas.openxmlformats.org/drawingml/2006/main">
                  <a:graphicData uri="http://schemas.microsoft.com/office/word/2010/wordprocessingShape">
                    <wps:wsp>
                      <wps:cNvCnPr/>
                      <wps:spPr>
                        <a:xfrm rot="10800000" flipH="1">
                          <a:off x="5346000" y="4042890"/>
                          <a:ext cx="5783580" cy="30480"/>
                        </a:xfrm>
                        <a:prstGeom prst="straightConnector1">
                          <a:avLst/>
                        </a:prstGeom>
                        <a:solidFill>
                          <a:srgbClr val="FFFFFF"/>
                        </a:solidFill>
                        <a:ln w="12700" cap="flat" cmpd="sng">
                          <a:solidFill>
                            <a:srgbClr val="4472C4"/>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33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14:paraId="00000008"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The Tsunami Ready Recognition Programme has been promoted in some form since 2015 as an international performance-based community recognition pilot consisting of key actions that help to reduce tsunami-related risks to individuals and communities. Formal guidance (IOC Manual and Guide 74) was published in 2022. </w:t>
      </w:r>
    </w:p>
    <w:p w14:paraId="00000009"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The aim of the programme is ultimately to build resilient communities through awareness and preparedness strategies that will protect life, livelihoods and property from tsunamis in different regions, and to ensure a structural and systematic approach to building community preparedness.</w:t>
      </w:r>
    </w:p>
    <w:p w14:paraId="0000000A"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The UNESCO/IOC Tsunami Ready approach is intended to:</w:t>
      </w:r>
    </w:p>
    <w:p w14:paraId="0000000B"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Bring the ownership of preparedness to the community.</w:t>
      </w:r>
    </w:p>
    <w:p w14:paraId="0000000C"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Ensure structural and systematic approach in building community preparedness.</w:t>
      </w:r>
    </w:p>
    <w:p w14:paraId="0000000D"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lastRenderedPageBreak/>
        <w:t>Be a collaborative effort to achieve a level of tsunami preparedness through the fulfilment of a set of established best practice guidelines and indicators.</w:t>
      </w:r>
    </w:p>
    <w:p w14:paraId="0000000E" w14:textId="77777777" w:rsidR="00ED50B6" w:rsidRDefault="00000000">
      <w:pPr>
        <w:numPr>
          <w:ilvl w:val="0"/>
          <w:numId w:val="3"/>
        </w:numPr>
        <w:pBdr>
          <w:top w:val="nil"/>
          <w:left w:val="nil"/>
          <w:bottom w:val="nil"/>
          <w:right w:val="nil"/>
          <w:between w:val="nil"/>
        </w:pBdr>
        <w:spacing w:after="240"/>
        <w:ind w:left="714" w:hanging="357"/>
        <w:jc w:val="both"/>
        <w:rPr>
          <w:rFonts w:ascii="Arial" w:eastAsia="Arial" w:hAnsi="Arial" w:cs="Arial"/>
          <w:color w:val="000000"/>
          <w:sz w:val="22"/>
          <w:szCs w:val="22"/>
        </w:rPr>
      </w:pPr>
      <w:r>
        <w:rPr>
          <w:rFonts w:ascii="Arial" w:eastAsia="Arial" w:hAnsi="Arial" w:cs="Arial"/>
          <w:color w:val="000000"/>
          <w:sz w:val="22"/>
          <w:szCs w:val="22"/>
        </w:rPr>
        <w:t>Be implemented on a voluntary basis that entails a “bottom-up” process with the community taking the initiative to build its own capacity.  This approach ensures ownership of the process that strengthens its sustainability.</w:t>
      </w:r>
    </w:p>
    <w:p w14:paraId="0000000F"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Among the benefits of implementing the UNESCO/IOC Tsunami Ready Recognition Programme are that it:</w:t>
      </w:r>
    </w:p>
    <w:p w14:paraId="00000010"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Strengthens tsunami preparedness of coastal communities through:</w:t>
      </w:r>
    </w:p>
    <w:p w14:paraId="00000011" w14:textId="77777777" w:rsidR="00ED50B6" w:rsidRDefault="00000000">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Improved assessments of Hazards, Risk, Inundation, and Evacuation.</w:t>
      </w:r>
    </w:p>
    <w:p w14:paraId="00000012" w14:textId="77777777" w:rsidR="00ED50B6" w:rsidRDefault="00000000">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Improved early warning systems/warning chain.</w:t>
      </w:r>
    </w:p>
    <w:p w14:paraId="00000013" w14:textId="77777777" w:rsidR="00ED50B6" w:rsidRDefault="00000000">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Improved public awareness, understanding of tsunami threat and preparedness.</w:t>
      </w:r>
    </w:p>
    <w:p w14:paraId="00000014" w14:textId="77777777" w:rsidR="00ED50B6" w:rsidRDefault="00000000">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Tested awareness and preparedness through regular exercises.</w:t>
      </w:r>
    </w:p>
    <w:p w14:paraId="00000015"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Strengthens the relationship between tsunami scientists, warning officials and local communities.</w:t>
      </w:r>
    </w:p>
    <w:p w14:paraId="00000016"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Strengthens preparedness for other hazards.</w:t>
      </w:r>
    </w:p>
    <w:p w14:paraId="00000017"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Improves community planning.</w:t>
      </w:r>
    </w:p>
    <w:p w14:paraId="00000018"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Encourages a consistent and sustainable approach to disaster risk reduction.</w:t>
      </w:r>
    </w:p>
    <w:p w14:paraId="00000019"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Contributes to the aims of the Sendai Framework for Disaster Risk Reduction and Sustainable Development Goals.</w:t>
      </w:r>
    </w:p>
    <w:p w14:paraId="0000001A" w14:textId="77777777" w:rsidR="00ED50B6" w:rsidRDefault="00000000">
      <w:pPr>
        <w:numPr>
          <w:ilvl w:val="0"/>
          <w:numId w:val="3"/>
        </w:numPr>
        <w:pBdr>
          <w:top w:val="nil"/>
          <w:left w:val="nil"/>
          <w:bottom w:val="nil"/>
          <w:right w:val="nil"/>
          <w:between w:val="nil"/>
        </w:pBdr>
        <w:spacing w:after="240"/>
        <w:ind w:left="714" w:hanging="357"/>
        <w:jc w:val="both"/>
        <w:rPr>
          <w:rFonts w:ascii="Arial" w:eastAsia="Arial" w:hAnsi="Arial" w:cs="Arial"/>
          <w:color w:val="000000"/>
          <w:sz w:val="22"/>
          <w:szCs w:val="22"/>
        </w:rPr>
      </w:pPr>
      <w:r>
        <w:rPr>
          <w:rFonts w:ascii="Arial" w:eastAsia="Arial" w:hAnsi="Arial" w:cs="Arial"/>
          <w:color w:val="000000"/>
          <w:sz w:val="22"/>
          <w:szCs w:val="22"/>
        </w:rPr>
        <w:t>Provides international recognition from UNESCO IOC as Tsunami Ready Community.</w:t>
      </w:r>
    </w:p>
    <w:p w14:paraId="0000001B"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“Tsunami Ready” recognition does not mean that a community is tsunami proof; rather, it is an acknowledgement and recognition that a community has adopted mitigation measures to cope with its tsunami risk. Through the Tsunami Ready Recognition Programme, communities become aware of the risks they face from tsunamis and take steps to address them. Since then and to date, multiple communities in the Pacific, Caribbean, Mediterranean and Indian Ocean have received Tsunami Ready Recognition. </w:t>
      </w:r>
    </w:p>
    <w:p w14:paraId="0000001C" w14:textId="77777777" w:rsidR="00ED50B6" w:rsidRDefault="00000000">
      <w:pPr>
        <w:pStyle w:val="Heading2"/>
        <w:numPr>
          <w:ilvl w:val="1"/>
          <w:numId w:val="8"/>
        </w:numPr>
        <w:spacing w:after="240"/>
        <w:jc w:val="both"/>
        <w:rPr>
          <w:rFonts w:ascii="Arial" w:eastAsia="Arial" w:hAnsi="Arial" w:cs="Arial"/>
          <w:sz w:val="22"/>
          <w:szCs w:val="22"/>
        </w:rPr>
      </w:pPr>
      <w:r>
        <w:rPr>
          <w:rFonts w:ascii="Arial" w:eastAsia="Arial" w:hAnsi="Arial" w:cs="Arial"/>
          <w:sz w:val="22"/>
          <w:szCs w:val="22"/>
        </w:rPr>
        <w:t xml:space="preserve">Strategy, Indicators and Implementation of Tsunami Ready </w:t>
      </w:r>
    </w:p>
    <w:p w14:paraId="0000001D"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The Tsunami Ready Recognition Programme Guidelines list strategies that must be implemented for a community to be recognized as Tsunami Ready. These strategies are defined by 12 key indicators covering I. Assessment, II. Preparedness and III. Responses actions (table below).</w:t>
      </w:r>
    </w:p>
    <w:p w14:paraId="0000001E"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The Programme is facilitated by each region’s the UNESCO/IOC Tsunami Information Centres, e.g., the International Tsunami Information Centre for the PTWS. The formal recognition process follows standard guidelines (UNESCO/IOC Manual and Guides 74, 2022). </w:t>
      </w:r>
    </w:p>
    <w:p w14:paraId="0000001F"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Successful implementation of the Programme requires inclusive oversight through governance at a national and local level, and confidence that the community will be able to sustain the established indicators for at least four years.   Communities must have a voluntary interest to be recognized as ‘Tsunami Ready’ under the UNESCO / IOC programme, and recognition is renewed on a four-yearly basis.  </w:t>
      </w:r>
    </w:p>
    <w:p w14:paraId="00000020" w14:textId="77777777" w:rsidR="00ED50B6" w:rsidRDefault="00ED50B6">
      <w:pPr>
        <w:spacing w:after="240"/>
        <w:jc w:val="both"/>
        <w:rPr>
          <w:rFonts w:ascii="Arial" w:eastAsia="Arial" w:hAnsi="Arial" w:cs="Arial"/>
          <w:sz w:val="22"/>
          <w:szCs w:val="22"/>
        </w:rPr>
      </w:pPr>
    </w:p>
    <w:p w14:paraId="00000021" w14:textId="77777777" w:rsidR="00ED50B6" w:rsidRDefault="00ED50B6">
      <w:pPr>
        <w:spacing w:after="240"/>
        <w:jc w:val="both"/>
        <w:rPr>
          <w:rFonts w:ascii="Arial" w:eastAsia="Arial" w:hAnsi="Arial" w:cs="Arial"/>
          <w:sz w:val="22"/>
          <w:szCs w:val="22"/>
        </w:rPr>
      </w:pPr>
    </w:p>
    <w:tbl>
      <w:tblPr>
        <w:tblStyle w:val="a"/>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8280"/>
      </w:tblGrid>
      <w:tr w:rsidR="00ED50B6" w14:paraId="672A1784" w14:textId="77777777">
        <w:trPr>
          <w:trHeight w:val="432"/>
          <w:tblHeader/>
          <w:jc w:val="center"/>
        </w:trPr>
        <w:tc>
          <w:tcPr>
            <w:tcW w:w="535" w:type="dxa"/>
            <w:shd w:val="clear" w:color="auto" w:fill="E7E6E6"/>
            <w:vAlign w:val="center"/>
          </w:tcPr>
          <w:p w14:paraId="00000022" w14:textId="77777777" w:rsidR="00ED50B6" w:rsidRDefault="00ED50B6">
            <w:pPr>
              <w:jc w:val="center"/>
              <w:rPr>
                <w:rFonts w:ascii="Arial" w:eastAsia="Arial" w:hAnsi="Arial" w:cs="Arial"/>
                <w:b/>
                <w:sz w:val="22"/>
                <w:szCs w:val="22"/>
              </w:rPr>
            </w:pPr>
          </w:p>
        </w:tc>
        <w:tc>
          <w:tcPr>
            <w:tcW w:w="8280" w:type="dxa"/>
            <w:shd w:val="clear" w:color="auto" w:fill="E7E6E6"/>
            <w:vAlign w:val="center"/>
          </w:tcPr>
          <w:p w14:paraId="00000023" w14:textId="77777777" w:rsidR="00ED50B6" w:rsidRDefault="00000000">
            <w:pPr>
              <w:ind w:left="144"/>
              <w:rPr>
                <w:rFonts w:ascii="Arial" w:eastAsia="Arial" w:hAnsi="Arial" w:cs="Arial"/>
                <w:b/>
                <w:sz w:val="22"/>
                <w:szCs w:val="22"/>
              </w:rPr>
            </w:pPr>
            <w:r>
              <w:rPr>
                <w:rFonts w:ascii="Arial" w:eastAsia="Arial" w:hAnsi="Arial" w:cs="Arial"/>
                <w:b/>
                <w:sz w:val="22"/>
                <w:szCs w:val="22"/>
              </w:rPr>
              <w:t>TSUNAMI READY INDICATORS</w:t>
            </w:r>
          </w:p>
        </w:tc>
      </w:tr>
      <w:tr w:rsidR="00ED50B6" w14:paraId="54D51691" w14:textId="77777777">
        <w:trPr>
          <w:trHeight w:val="432"/>
          <w:jc w:val="center"/>
        </w:trPr>
        <w:tc>
          <w:tcPr>
            <w:tcW w:w="535" w:type="dxa"/>
            <w:shd w:val="clear" w:color="auto" w:fill="5EB0FE"/>
            <w:vAlign w:val="center"/>
          </w:tcPr>
          <w:p w14:paraId="00000024" w14:textId="77777777" w:rsidR="00ED50B6" w:rsidRDefault="00000000">
            <w:pPr>
              <w:jc w:val="center"/>
              <w:rPr>
                <w:rFonts w:ascii="Arial" w:eastAsia="Arial" w:hAnsi="Arial" w:cs="Arial"/>
                <w:b/>
                <w:sz w:val="22"/>
                <w:szCs w:val="22"/>
              </w:rPr>
            </w:pPr>
            <w:r>
              <w:rPr>
                <w:rFonts w:ascii="Arial" w:eastAsia="Arial" w:hAnsi="Arial" w:cs="Arial"/>
                <w:b/>
                <w:sz w:val="22"/>
                <w:szCs w:val="22"/>
              </w:rPr>
              <w:t>I</w:t>
            </w:r>
          </w:p>
        </w:tc>
        <w:tc>
          <w:tcPr>
            <w:tcW w:w="8280" w:type="dxa"/>
            <w:shd w:val="clear" w:color="auto" w:fill="5EB0FE"/>
            <w:vAlign w:val="center"/>
          </w:tcPr>
          <w:p w14:paraId="00000025" w14:textId="77777777" w:rsidR="00ED50B6" w:rsidRDefault="00000000">
            <w:pPr>
              <w:ind w:left="144"/>
              <w:rPr>
                <w:rFonts w:ascii="Arial" w:eastAsia="Arial" w:hAnsi="Arial" w:cs="Arial"/>
                <w:b/>
                <w:sz w:val="22"/>
                <w:szCs w:val="22"/>
              </w:rPr>
            </w:pPr>
            <w:r>
              <w:rPr>
                <w:rFonts w:ascii="Arial" w:eastAsia="Arial" w:hAnsi="Arial" w:cs="Arial"/>
                <w:b/>
                <w:sz w:val="22"/>
                <w:szCs w:val="22"/>
              </w:rPr>
              <w:t>ASSESSMENT (ASSESS)</w:t>
            </w:r>
          </w:p>
        </w:tc>
      </w:tr>
      <w:tr w:rsidR="00ED50B6" w14:paraId="0DCF9CEF" w14:textId="77777777">
        <w:trPr>
          <w:trHeight w:val="288"/>
          <w:jc w:val="center"/>
        </w:trPr>
        <w:tc>
          <w:tcPr>
            <w:tcW w:w="535" w:type="dxa"/>
            <w:shd w:val="clear" w:color="auto" w:fill="C1E8FA"/>
          </w:tcPr>
          <w:p w14:paraId="00000026" w14:textId="77777777" w:rsidR="00ED50B6" w:rsidRDefault="00000000">
            <w:pPr>
              <w:jc w:val="center"/>
              <w:rPr>
                <w:rFonts w:ascii="Arial" w:eastAsia="Arial" w:hAnsi="Arial" w:cs="Arial"/>
                <w:sz w:val="22"/>
                <w:szCs w:val="22"/>
              </w:rPr>
            </w:pPr>
            <w:r>
              <w:rPr>
                <w:rFonts w:ascii="Arial" w:eastAsia="Arial" w:hAnsi="Arial" w:cs="Arial"/>
                <w:sz w:val="22"/>
                <w:szCs w:val="22"/>
              </w:rPr>
              <w:t>1</w:t>
            </w:r>
          </w:p>
        </w:tc>
        <w:tc>
          <w:tcPr>
            <w:tcW w:w="8280" w:type="dxa"/>
            <w:shd w:val="clear" w:color="auto" w:fill="C1E8FA"/>
          </w:tcPr>
          <w:p w14:paraId="00000027" w14:textId="77777777" w:rsidR="00ED50B6" w:rsidRDefault="00000000">
            <w:pPr>
              <w:ind w:left="144"/>
              <w:rPr>
                <w:rFonts w:ascii="Arial" w:eastAsia="Arial" w:hAnsi="Arial" w:cs="Arial"/>
                <w:sz w:val="22"/>
                <w:szCs w:val="22"/>
              </w:rPr>
            </w:pPr>
            <w:r>
              <w:rPr>
                <w:rFonts w:ascii="Arial" w:eastAsia="Arial" w:hAnsi="Arial" w:cs="Arial"/>
                <w:b/>
                <w:sz w:val="22"/>
                <w:szCs w:val="22"/>
              </w:rPr>
              <w:t>ASSESS-1</w:t>
            </w:r>
            <w:r>
              <w:rPr>
                <w:rFonts w:ascii="Arial" w:eastAsia="Arial" w:hAnsi="Arial" w:cs="Arial"/>
                <w:sz w:val="22"/>
                <w:szCs w:val="22"/>
              </w:rPr>
              <w:t>. Tsunami hazard zones are mapped and designated.</w:t>
            </w:r>
          </w:p>
        </w:tc>
      </w:tr>
      <w:tr w:rsidR="00ED50B6" w14:paraId="70C431A5" w14:textId="77777777">
        <w:trPr>
          <w:trHeight w:val="288"/>
          <w:jc w:val="center"/>
        </w:trPr>
        <w:tc>
          <w:tcPr>
            <w:tcW w:w="535" w:type="dxa"/>
            <w:shd w:val="clear" w:color="auto" w:fill="C1E8FA"/>
          </w:tcPr>
          <w:p w14:paraId="00000028" w14:textId="77777777" w:rsidR="00ED50B6" w:rsidRDefault="00000000">
            <w:pPr>
              <w:jc w:val="center"/>
              <w:rPr>
                <w:rFonts w:ascii="Arial" w:eastAsia="Arial" w:hAnsi="Arial" w:cs="Arial"/>
                <w:sz w:val="22"/>
                <w:szCs w:val="22"/>
              </w:rPr>
            </w:pPr>
            <w:r>
              <w:rPr>
                <w:rFonts w:ascii="Arial" w:eastAsia="Arial" w:hAnsi="Arial" w:cs="Arial"/>
                <w:sz w:val="22"/>
                <w:szCs w:val="22"/>
              </w:rPr>
              <w:t>2</w:t>
            </w:r>
          </w:p>
        </w:tc>
        <w:tc>
          <w:tcPr>
            <w:tcW w:w="8280" w:type="dxa"/>
            <w:shd w:val="clear" w:color="auto" w:fill="C1E8FA"/>
          </w:tcPr>
          <w:p w14:paraId="00000029" w14:textId="77777777" w:rsidR="00ED50B6" w:rsidRDefault="00000000">
            <w:pPr>
              <w:ind w:left="144"/>
              <w:rPr>
                <w:rFonts w:ascii="Arial" w:eastAsia="Arial" w:hAnsi="Arial" w:cs="Arial"/>
                <w:sz w:val="22"/>
                <w:szCs w:val="22"/>
              </w:rPr>
            </w:pPr>
            <w:r>
              <w:rPr>
                <w:rFonts w:ascii="Arial" w:eastAsia="Arial" w:hAnsi="Arial" w:cs="Arial"/>
                <w:b/>
                <w:sz w:val="22"/>
                <w:szCs w:val="22"/>
              </w:rPr>
              <w:t>ASSESS-2</w:t>
            </w:r>
            <w:r>
              <w:rPr>
                <w:rFonts w:ascii="Arial" w:eastAsia="Arial" w:hAnsi="Arial" w:cs="Arial"/>
                <w:sz w:val="22"/>
                <w:szCs w:val="22"/>
              </w:rPr>
              <w:t>. The number of people at risk in the tsunami hazard zone is estimated.</w:t>
            </w:r>
          </w:p>
        </w:tc>
      </w:tr>
      <w:tr w:rsidR="00ED50B6" w14:paraId="31B18951" w14:textId="77777777">
        <w:trPr>
          <w:trHeight w:val="288"/>
          <w:jc w:val="center"/>
        </w:trPr>
        <w:tc>
          <w:tcPr>
            <w:tcW w:w="535" w:type="dxa"/>
            <w:shd w:val="clear" w:color="auto" w:fill="C1E8FA"/>
          </w:tcPr>
          <w:p w14:paraId="0000002A" w14:textId="77777777" w:rsidR="00ED50B6" w:rsidRDefault="00000000">
            <w:pPr>
              <w:jc w:val="center"/>
              <w:rPr>
                <w:rFonts w:ascii="Arial" w:eastAsia="Arial" w:hAnsi="Arial" w:cs="Arial"/>
                <w:sz w:val="22"/>
                <w:szCs w:val="22"/>
              </w:rPr>
            </w:pPr>
            <w:r>
              <w:rPr>
                <w:rFonts w:ascii="Arial" w:eastAsia="Arial" w:hAnsi="Arial" w:cs="Arial"/>
                <w:sz w:val="22"/>
                <w:szCs w:val="22"/>
              </w:rPr>
              <w:t>3</w:t>
            </w:r>
          </w:p>
        </w:tc>
        <w:tc>
          <w:tcPr>
            <w:tcW w:w="8280" w:type="dxa"/>
            <w:shd w:val="clear" w:color="auto" w:fill="C1E8FA"/>
          </w:tcPr>
          <w:p w14:paraId="0000002B" w14:textId="77777777" w:rsidR="00ED50B6" w:rsidRDefault="00000000">
            <w:pPr>
              <w:ind w:left="144"/>
              <w:rPr>
                <w:rFonts w:ascii="Arial" w:eastAsia="Arial" w:hAnsi="Arial" w:cs="Arial"/>
                <w:sz w:val="22"/>
                <w:szCs w:val="22"/>
              </w:rPr>
            </w:pPr>
            <w:r>
              <w:rPr>
                <w:rFonts w:ascii="Arial" w:eastAsia="Arial" w:hAnsi="Arial" w:cs="Arial"/>
                <w:b/>
                <w:sz w:val="22"/>
                <w:szCs w:val="22"/>
              </w:rPr>
              <w:t>ASSESS-3</w:t>
            </w:r>
            <w:r>
              <w:rPr>
                <w:rFonts w:ascii="Arial" w:eastAsia="Arial" w:hAnsi="Arial" w:cs="Arial"/>
                <w:sz w:val="22"/>
                <w:szCs w:val="22"/>
              </w:rPr>
              <w:t>. Economic, infrastructural, political, and social resources are identified.</w:t>
            </w:r>
          </w:p>
        </w:tc>
      </w:tr>
      <w:tr w:rsidR="00ED50B6" w14:paraId="02EDC45E" w14:textId="77777777">
        <w:trPr>
          <w:trHeight w:val="432"/>
          <w:jc w:val="center"/>
        </w:trPr>
        <w:tc>
          <w:tcPr>
            <w:tcW w:w="535" w:type="dxa"/>
            <w:shd w:val="clear" w:color="auto" w:fill="FFFF00"/>
            <w:vAlign w:val="center"/>
          </w:tcPr>
          <w:p w14:paraId="0000002C" w14:textId="77777777" w:rsidR="00ED50B6" w:rsidRDefault="00000000">
            <w:pPr>
              <w:jc w:val="center"/>
              <w:rPr>
                <w:rFonts w:ascii="Arial" w:eastAsia="Arial" w:hAnsi="Arial" w:cs="Arial"/>
                <w:b/>
                <w:sz w:val="22"/>
                <w:szCs w:val="22"/>
              </w:rPr>
            </w:pPr>
            <w:r>
              <w:rPr>
                <w:rFonts w:ascii="Arial" w:eastAsia="Arial" w:hAnsi="Arial" w:cs="Arial"/>
                <w:b/>
                <w:sz w:val="22"/>
                <w:szCs w:val="22"/>
              </w:rPr>
              <w:t>II</w:t>
            </w:r>
          </w:p>
        </w:tc>
        <w:tc>
          <w:tcPr>
            <w:tcW w:w="8280" w:type="dxa"/>
            <w:shd w:val="clear" w:color="auto" w:fill="FFFF00"/>
            <w:vAlign w:val="center"/>
          </w:tcPr>
          <w:p w14:paraId="0000002D" w14:textId="77777777" w:rsidR="00ED50B6" w:rsidRDefault="00000000">
            <w:pPr>
              <w:ind w:left="144"/>
              <w:rPr>
                <w:rFonts w:ascii="Arial" w:eastAsia="Arial" w:hAnsi="Arial" w:cs="Arial"/>
                <w:b/>
                <w:sz w:val="22"/>
                <w:szCs w:val="22"/>
              </w:rPr>
            </w:pPr>
            <w:r>
              <w:rPr>
                <w:rFonts w:ascii="Arial" w:eastAsia="Arial" w:hAnsi="Arial" w:cs="Arial"/>
                <w:b/>
                <w:sz w:val="22"/>
                <w:szCs w:val="22"/>
              </w:rPr>
              <w:t>PREPAREDNESS (PREP)</w:t>
            </w:r>
          </w:p>
        </w:tc>
      </w:tr>
      <w:tr w:rsidR="00ED50B6" w14:paraId="7692F8C0" w14:textId="77777777">
        <w:trPr>
          <w:trHeight w:val="288"/>
          <w:jc w:val="center"/>
        </w:trPr>
        <w:tc>
          <w:tcPr>
            <w:tcW w:w="535" w:type="dxa"/>
            <w:shd w:val="clear" w:color="auto" w:fill="FEFFBC"/>
          </w:tcPr>
          <w:p w14:paraId="0000002E" w14:textId="77777777" w:rsidR="00ED50B6" w:rsidRDefault="00000000">
            <w:pPr>
              <w:jc w:val="center"/>
              <w:rPr>
                <w:rFonts w:ascii="Arial" w:eastAsia="Arial" w:hAnsi="Arial" w:cs="Arial"/>
                <w:sz w:val="22"/>
                <w:szCs w:val="22"/>
              </w:rPr>
            </w:pPr>
            <w:r>
              <w:rPr>
                <w:rFonts w:ascii="Arial" w:eastAsia="Arial" w:hAnsi="Arial" w:cs="Arial"/>
                <w:sz w:val="22"/>
                <w:szCs w:val="22"/>
              </w:rPr>
              <w:t>4</w:t>
            </w:r>
          </w:p>
        </w:tc>
        <w:tc>
          <w:tcPr>
            <w:tcW w:w="8280" w:type="dxa"/>
            <w:shd w:val="clear" w:color="auto" w:fill="FEFFBC"/>
          </w:tcPr>
          <w:p w14:paraId="0000002F" w14:textId="77777777" w:rsidR="00ED50B6" w:rsidRDefault="00000000">
            <w:pPr>
              <w:ind w:left="144"/>
              <w:rPr>
                <w:rFonts w:ascii="Arial" w:eastAsia="Arial" w:hAnsi="Arial" w:cs="Arial"/>
                <w:sz w:val="22"/>
                <w:szCs w:val="22"/>
              </w:rPr>
            </w:pPr>
            <w:r>
              <w:rPr>
                <w:rFonts w:ascii="Arial" w:eastAsia="Arial" w:hAnsi="Arial" w:cs="Arial"/>
                <w:b/>
                <w:sz w:val="22"/>
                <w:szCs w:val="22"/>
              </w:rPr>
              <w:t>PREP-1</w:t>
            </w:r>
            <w:r>
              <w:rPr>
                <w:rFonts w:ascii="Arial" w:eastAsia="Arial" w:hAnsi="Arial" w:cs="Arial"/>
                <w:sz w:val="22"/>
                <w:szCs w:val="22"/>
              </w:rPr>
              <w:t>. Easily understood tsunami evacuation maps are approved.</w:t>
            </w:r>
          </w:p>
        </w:tc>
      </w:tr>
      <w:tr w:rsidR="00ED50B6" w14:paraId="7F5DDD34" w14:textId="77777777">
        <w:trPr>
          <w:trHeight w:val="288"/>
          <w:jc w:val="center"/>
        </w:trPr>
        <w:tc>
          <w:tcPr>
            <w:tcW w:w="535" w:type="dxa"/>
            <w:shd w:val="clear" w:color="auto" w:fill="FEFFBC"/>
          </w:tcPr>
          <w:p w14:paraId="00000030" w14:textId="77777777" w:rsidR="00ED50B6" w:rsidRDefault="00000000">
            <w:pPr>
              <w:jc w:val="center"/>
              <w:rPr>
                <w:rFonts w:ascii="Arial" w:eastAsia="Arial" w:hAnsi="Arial" w:cs="Arial"/>
                <w:sz w:val="22"/>
                <w:szCs w:val="22"/>
              </w:rPr>
            </w:pPr>
            <w:r>
              <w:rPr>
                <w:rFonts w:ascii="Arial" w:eastAsia="Arial" w:hAnsi="Arial" w:cs="Arial"/>
                <w:sz w:val="22"/>
                <w:szCs w:val="22"/>
              </w:rPr>
              <w:t>5</w:t>
            </w:r>
          </w:p>
        </w:tc>
        <w:tc>
          <w:tcPr>
            <w:tcW w:w="8280" w:type="dxa"/>
            <w:shd w:val="clear" w:color="auto" w:fill="FEFFBC"/>
          </w:tcPr>
          <w:p w14:paraId="00000031" w14:textId="77777777" w:rsidR="00ED50B6" w:rsidRDefault="00000000">
            <w:pPr>
              <w:ind w:left="144"/>
              <w:rPr>
                <w:rFonts w:ascii="Arial" w:eastAsia="Arial" w:hAnsi="Arial" w:cs="Arial"/>
                <w:sz w:val="22"/>
                <w:szCs w:val="22"/>
              </w:rPr>
            </w:pPr>
            <w:r>
              <w:rPr>
                <w:rFonts w:ascii="Arial" w:eastAsia="Arial" w:hAnsi="Arial" w:cs="Arial"/>
                <w:b/>
                <w:sz w:val="22"/>
                <w:szCs w:val="22"/>
              </w:rPr>
              <w:t>PREP-2</w:t>
            </w:r>
            <w:r>
              <w:rPr>
                <w:rFonts w:ascii="Arial" w:eastAsia="Arial" w:hAnsi="Arial" w:cs="Arial"/>
                <w:sz w:val="22"/>
                <w:szCs w:val="22"/>
              </w:rPr>
              <w:t>. Tsunami information including signage is publicly displayed.</w:t>
            </w:r>
          </w:p>
        </w:tc>
      </w:tr>
      <w:tr w:rsidR="00ED50B6" w14:paraId="4EFC039C" w14:textId="77777777">
        <w:trPr>
          <w:trHeight w:val="288"/>
          <w:jc w:val="center"/>
        </w:trPr>
        <w:tc>
          <w:tcPr>
            <w:tcW w:w="535" w:type="dxa"/>
            <w:shd w:val="clear" w:color="auto" w:fill="FEFFBC"/>
          </w:tcPr>
          <w:p w14:paraId="00000032" w14:textId="77777777" w:rsidR="00ED50B6" w:rsidRDefault="00000000">
            <w:pPr>
              <w:jc w:val="center"/>
              <w:rPr>
                <w:rFonts w:ascii="Arial" w:eastAsia="Arial" w:hAnsi="Arial" w:cs="Arial"/>
                <w:sz w:val="22"/>
                <w:szCs w:val="22"/>
              </w:rPr>
            </w:pPr>
            <w:r>
              <w:rPr>
                <w:rFonts w:ascii="Arial" w:eastAsia="Arial" w:hAnsi="Arial" w:cs="Arial"/>
                <w:sz w:val="22"/>
                <w:szCs w:val="22"/>
              </w:rPr>
              <w:t>6</w:t>
            </w:r>
          </w:p>
        </w:tc>
        <w:tc>
          <w:tcPr>
            <w:tcW w:w="8280" w:type="dxa"/>
            <w:shd w:val="clear" w:color="auto" w:fill="FEFFBC"/>
          </w:tcPr>
          <w:p w14:paraId="00000033" w14:textId="77777777" w:rsidR="00ED50B6" w:rsidRDefault="00000000">
            <w:pPr>
              <w:ind w:left="144"/>
              <w:rPr>
                <w:rFonts w:ascii="Arial" w:eastAsia="Arial" w:hAnsi="Arial" w:cs="Arial"/>
                <w:sz w:val="22"/>
                <w:szCs w:val="22"/>
              </w:rPr>
            </w:pPr>
            <w:r>
              <w:rPr>
                <w:rFonts w:ascii="Arial" w:eastAsia="Arial" w:hAnsi="Arial" w:cs="Arial"/>
                <w:b/>
                <w:sz w:val="22"/>
                <w:szCs w:val="22"/>
              </w:rPr>
              <w:t>PREP-3</w:t>
            </w:r>
            <w:r>
              <w:rPr>
                <w:rFonts w:ascii="Arial" w:eastAsia="Arial" w:hAnsi="Arial" w:cs="Arial"/>
                <w:sz w:val="22"/>
                <w:szCs w:val="22"/>
              </w:rPr>
              <w:t>. Outreach and public awareness and education resources are available and distributed.</w:t>
            </w:r>
          </w:p>
        </w:tc>
      </w:tr>
      <w:tr w:rsidR="00ED50B6" w14:paraId="35234AEB" w14:textId="77777777">
        <w:trPr>
          <w:trHeight w:val="288"/>
          <w:jc w:val="center"/>
        </w:trPr>
        <w:tc>
          <w:tcPr>
            <w:tcW w:w="535" w:type="dxa"/>
            <w:shd w:val="clear" w:color="auto" w:fill="FEFFBC"/>
          </w:tcPr>
          <w:p w14:paraId="00000034" w14:textId="77777777" w:rsidR="00ED50B6" w:rsidRDefault="00000000">
            <w:pPr>
              <w:jc w:val="center"/>
              <w:rPr>
                <w:rFonts w:ascii="Arial" w:eastAsia="Arial" w:hAnsi="Arial" w:cs="Arial"/>
                <w:sz w:val="22"/>
                <w:szCs w:val="22"/>
              </w:rPr>
            </w:pPr>
            <w:r>
              <w:rPr>
                <w:rFonts w:ascii="Arial" w:eastAsia="Arial" w:hAnsi="Arial" w:cs="Arial"/>
                <w:sz w:val="22"/>
                <w:szCs w:val="22"/>
              </w:rPr>
              <w:t>7</w:t>
            </w:r>
          </w:p>
        </w:tc>
        <w:tc>
          <w:tcPr>
            <w:tcW w:w="8280" w:type="dxa"/>
            <w:shd w:val="clear" w:color="auto" w:fill="FEFFBC"/>
          </w:tcPr>
          <w:p w14:paraId="00000035" w14:textId="77777777" w:rsidR="00ED50B6" w:rsidRDefault="00000000">
            <w:pPr>
              <w:ind w:left="144"/>
              <w:rPr>
                <w:rFonts w:ascii="Arial" w:eastAsia="Arial" w:hAnsi="Arial" w:cs="Arial"/>
                <w:sz w:val="22"/>
                <w:szCs w:val="22"/>
              </w:rPr>
            </w:pPr>
            <w:r>
              <w:rPr>
                <w:rFonts w:ascii="Arial" w:eastAsia="Arial" w:hAnsi="Arial" w:cs="Arial"/>
                <w:b/>
                <w:sz w:val="22"/>
                <w:szCs w:val="22"/>
              </w:rPr>
              <w:t>PREP-4</w:t>
            </w:r>
            <w:r>
              <w:rPr>
                <w:rFonts w:ascii="Arial" w:eastAsia="Arial" w:hAnsi="Arial" w:cs="Arial"/>
                <w:sz w:val="22"/>
                <w:szCs w:val="22"/>
              </w:rPr>
              <w:t>. Outreach or educational activities are held at least three times a year.</w:t>
            </w:r>
          </w:p>
        </w:tc>
      </w:tr>
      <w:tr w:rsidR="00ED50B6" w14:paraId="25FDEBA5" w14:textId="77777777">
        <w:trPr>
          <w:trHeight w:val="288"/>
          <w:jc w:val="center"/>
        </w:trPr>
        <w:tc>
          <w:tcPr>
            <w:tcW w:w="535" w:type="dxa"/>
            <w:shd w:val="clear" w:color="auto" w:fill="FEFFBC"/>
          </w:tcPr>
          <w:p w14:paraId="00000036" w14:textId="77777777" w:rsidR="00ED50B6" w:rsidRDefault="00000000">
            <w:pPr>
              <w:jc w:val="center"/>
              <w:rPr>
                <w:rFonts w:ascii="Arial" w:eastAsia="Arial" w:hAnsi="Arial" w:cs="Arial"/>
                <w:sz w:val="22"/>
                <w:szCs w:val="22"/>
              </w:rPr>
            </w:pPr>
            <w:r>
              <w:rPr>
                <w:rFonts w:ascii="Arial" w:eastAsia="Arial" w:hAnsi="Arial" w:cs="Arial"/>
                <w:sz w:val="22"/>
                <w:szCs w:val="22"/>
              </w:rPr>
              <w:t>8</w:t>
            </w:r>
          </w:p>
        </w:tc>
        <w:tc>
          <w:tcPr>
            <w:tcW w:w="8280" w:type="dxa"/>
            <w:shd w:val="clear" w:color="auto" w:fill="FEFFBC"/>
          </w:tcPr>
          <w:p w14:paraId="00000037" w14:textId="77777777" w:rsidR="00ED50B6" w:rsidRDefault="00000000">
            <w:pPr>
              <w:ind w:left="144"/>
              <w:rPr>
                <w:rFonts w:ascii="Arial" w:eastAsia="Arial" w:hAnsi="Arial" w:cs="Arial"/>
                <w:sz w:val="22"/>
                <w:szCs w:val="22"/>
              </w:rPr>
            </w:pPr>
            <w:r>
              <w:rPr>
                <w:rFonts w:ascii="Arial" w:eastAsia="Arial" w:hAnsi="Arial" w:cs="Arial"/>
                <w:b/>
                <w:sz w:val="22"/>
                <w:szCs w:val="22"/>
              </w:rPr>
              <w:t>PREP-5</w:t>
            </w:r>
            <w:r>
              <w:rPr>
                <w:rFonts w:ascii="Arial" w:eastAsia="Arial" w:hAnsi="Arial" w:cs="Arial"/>
                <w:sz w:val="22"/>
                <w:szCs w:val="22"/>
              </w:rPr>
              <w:t>: A community tsunami exercise is conducted at least every two years.</w:t>
            </w:r>
          </w:p>
        </w:tc>
      </w:tr>
      <w:tr w:rsidR="00ED50B6" w14:paraId="1945DD5B" w14:textId="77777777">
        <w:trPr>
          <w:trHeight w:val="432"/>
          <w:jc w:val="center"/>
        </w:trPr>
        <w:tc>
          <w:tcPr>
            <w:tcW w:w="535" w:type="dxa"/>
            <w:shd w:val="clear" w:color="auto" w:fill="FF9900"/>
            <w:vAlign w:val="center"/>
          </w:tcPr>
          <w:p w14:paraId="00000038" w14:textId="77777777" w:rsidR="00ED50B6" w:rsidRDefault="00000000">
            <w:pPr>
              <w:jc w:val="center"/>
              <w:rPr>
                <w:rFonts w:ascii="Arial" w:eastAsia="Arial" w:hAnsi="Arial" w:cs="Arial"/>
                <w:b/>
                <w:sz w:val="22"/>
                <w:szCs w:val="22"/>
              </w:rPr>
            </w:pPr>
            <w:r>
              <w:rPr>
                <w:rFonts w:ascii="Arial" w:eastAsia="Arial" w:hAnsi="Arial" w:cs="Arial"/>
                <w:b/>
                <w:sz w:val="22"/>
                <w:szCs w:val="22"/>
              </w:rPr>
              <w:t>III</w:t>
            </w:r>
          </w:p>
        </w:tc>
        <w:tc>
          <w:tcPr>
            <w:tcW w:w="8280" w:type="dxa"/>
            <w:shd w:val="clear" w:color="auto" w:fill="FF9900"/>
            <w:vAlign w:val="center"/>
          </w:tcPr>
          <w:p w14:paraId="00000039" w14:textId="77777777" w:rsidR="00ED50B6" w:rsidRDefault="00000000">
            <w:pPr>
              <w:ind w:left="144"/>
              <w:rPr>
                <w:rFonts w:ascii="Arial" w:eastAsia="Arial" w:hAnsi="Arial" w:cs="Arial"/>
                <w:sz w:val="22"/>
                <w:szCs w:val="22"/>
              </w:rPr>
            </w:pPr>
            <w:r>
              <w:rPr>
                <w:rFonts w:ascii="Arial" w:eastAsia="Arial" w:hAnsi="Arial" w:cs="Arial"/>
                <w:b/>
                <w:sz w:val="22"/>
                <w:szCs w:val="22"/>
              </w:rPr>
              <w:t>RESPONSE (RESP)</w:t>
            </w:r>
          </w:p>
        </w:tc>
      </w:tr>
      <w:tr w:rsidR="00ED50B6" w14:paraId="28499951" w14:textId="77777777">
        <w:trPr>
          <w:trHeight w:val="288"/>
          <w:jc w:val="center"/>
        </w:trPr>
        <w:tc>
          <w:tcPr>
            <w:tcW w:w="535" w:type="dxa"/>
            <w:shd w:val="clear" w:color="auto" w:fill="E2EFD9"/>
          </w:tcPr>
          <w:p w14:paraId="0000003A" w14:textId="77777777" w:rsidR="00ED50B6" w:rsidRDefault="00000000">
            <w:pPr>
              <w:jc w:val="center"/>
              <w:rPr>
                <w:rFonts w:ascii="Arial" w:eastAsia="Arial" w:hAnsi="Arial" w:cs="Arial"/>
                <w:sz w:val="22"/>
                <w:szCs w:val="22"/>
              </w:rPr>
            </w:pPr>
            <w:r>
              <w:rPr>
                <w:rFonts w:ascii="Arial" w:eastAsia="Arial" w:hAnsi="Arial" w:cs="Arial"/>
                <w:sz w:val="22"/>
                <w:szCs w:val="22"/>
              </w:rPr>
              <w:t>9</w:t>
            </w:r>
          </w:p>
        </w:tc>
        <w:tc>
          <w:tcPr>
            <w:tcW w:w="8280" w:type="dxa"/>
            <w:shd w:val="clear" w:color="auto" w:fill="E2EFD9"/>
          </w:tcPr>
          <w:p w14:paraId="0000003B" w14:textId="77777777" w:rsidR="00ED50B6" w:rsidRDefault="00000000">
            <w:pPr>
              <w:ind w:left="144"/>
              <w:rPr>
                <w:rFonts w:ascii="Arial" w:eastAsia="Arial" w:hAnsi="Arial" w:cs="Arial"/>
                <w:sz w:val="22"/>
                <w:szCs w:val="22"/>
              </w:rPr>
            </w:pPr>
            <w:r>
              <w:rPr>
                <w:rFonts w:ascii="Arial" w:eastAsia="Arial" w:hAnsi="Arial" w:cs="Arial"/>
                <w:b/>
                <w:sz w:val="22"/>
                <w:szCs w:val="22"/>
              </w:rPr>
              <w:t>RESP-1</w:t>
            </w:r>
            <w:r>
              <w:rPr>
                <w:rFonts w:ascii="Arial" w:eastAsia="Arial" w:hAnsi="Arial" w:cs="Arial"/>
                <w:sz w:val="22"/>
                <w:szCs w:val="22"/>
              </w:rPr>
              <w:t>. A community tsunami emergency response plan is approved.</w:t>
            </w:r>
          </w:p>
        </w:tc>
      </w:tr>
      <w:tr w:rsidR="00ED50B6" w14:paraId="2A8B872D" w14:textId="77777777">
        <w:trPr>
          <w:trHeight w:val="288"/>
          <w:jc w:val="center"/>
        </w:trPr>
        <w:tc>
          <w:tcPr>
            <w:tcW w:w="535" w:type="dxa"/>
            <w:shd w:val="clear" w:color="auto" w:fill="E2EFD9"/>
          </w:tcPr>
          <w:p w14:paraId="0000003C" w14:textId="77777777" w:rsidR="00ED50B6" w:rsidRDefault="00000000">
            <w:pPr>
              <w:jc w:val="center"/>
              <w:rPr>
                <w:rFonts w:ascii="Arial" w:eastAsia="Arial" w:hAnsi="Arial" w:cs="Arial"/>
                <w:sz w:val="22"/>
                <w:szCs w:val="22"/>
              </w:rPr>
            </w:pPr>
            <w:r>
              <w:rPr>
                <w:rFonts w:ascii="Arial" w:eastAsia="Arial" w:hAnsi="Arial" w:cs="Arial"/>
                <w:sz w:val="22"/>
                <w:szCs w:val="22"/>
              </w:rPr>
              <w:t>10</w:t>
            </w:r>
          </w:p>
        </w:tc>
        <w:tc>
          <w:tcPr>
            <w:tcW w:w="8280" w:type="dxa"/>
            <w:shd w:val="clear" w:color="auto" w:fill="E2EFD9"/>
          </w:tcPr>
          <w:p w14:paraId="0000003D" w14:textId="77777777" w:rsidR="00ED50B6" w:rsidRDefault="00000000">
            <w:pPr>
              <w:ind w:left="144"/>
              <w:rPr>
                <w:rFonts w:ascii="Arial" w:eastAsia="Arial" w:hAnsi="Arial" w:cs="Arial"/>
                <w:sz w:val="22"/>
                <w:szCs w:val="22"/>
              </w:rPr>
            </w:pPr>
            <w:r>
              <w:rPr>
                <w:rFonts w:ascii="Arial" w:eastAsia="Arial" w:hAnsi="Arial" w:cs="Arial"/>
                <w:b/>
                <w:sz w:val="22"/>
                <w:szCs w:val="22"/>
              </w:rPr>
              <w:t>RESP-2</w:t>
            </w:r>
            <w:r>
              <w:rPr>
                <w:rFonts w:ascii="Arial" w:eastAsia="Arial" w:hAnsi="Arial" w:cs="Arial"/>
                <w:sz w:val="22"/>
                <w:szCs w:val="22"/>
              </w:rPr>
              <w:t>. The capacity to manage emergency response operations during a tsunami is in place.</w:t>
            </w:r>
          </w:p>
        </w:tc>
      </w:tr>
      <w:tr w:rsidR="00ED50B6" w14:paraId="45CD9F84" w14:textId="77777777">
        <w:trPr>
          <w:trHeight w:val="288"/>
          <w:jc w:val="center"/>
        </w:trPr>
        <w:tc>
          <w:tcPr>
            <w:tcW w:w="535" w:type="dxa"/>
            <w:shd w:val="clear" w:color="auto" w:fill="E2EFD9"/>
          </w:tcPr>
          <w:p w14:paraId="0000003E" w14:textId="77777777" w:rsidR="00ED50B6" w:rsidRDefault="00000000">
            <w:pPr>
              <w:jc w:val="center"/>
              <w:rPr>
                <w:rFonts w:ascii="Arial" w:eastAsia="Arial" w:hAnsi="Arial" w:cs="Arial"/>
                <w:sz w:val="22"/>
                <w:szCs w:val="22"/>
              </w:rPr>
            </w:pPr>
            <w:r>
              <w:rPr>
                <w:rFonts w:ascii="Arial" w:eastAsia="Arial" w:hAnsi="Arial" w:cs="Arial"/>
                <w:sz w:val="22"/>
                <w:szCs w:val="22"/>
              </w:rPr>
              <w:t>11</w:t>
            </w:r>
          </w:p>
        </w:tc>
        <w:tc>
          <w:tcPr>
            <w:tcW w:w="8280" w:type="dxa"/>
            <w:shd w:val="clear" w:color="auto" w:fill="E2EFD9"/>
          </w:tcPr>
          <w:p w14:paraId="0000003F" w14:textId="77777777" w:rsidR="00ED50B6" w:rsidRDefault="00000000">
            <w:pPr>
              <w:ind w:left="144"/>
              <w:rPr>
                <w:rFonts w:ascii="Arial" w:eastAsia="Arial" w:hAnsi="Arial" w:cs="Arial"/>
                <w:sz w:val="22"/>
                <w:szCs w:val="22"/>
              </w:rPr>
            </w:pPr>
            <w:r>
              <w:rPr>
                <w:rFonts w:ascii="Arial" w:eastAsia="Arial" w:hAnsi="Arial" w:cs="Arial"/>
                <w:b/>
                <w:sz w:val="22"/>
                <w:szCs w:val="22"/>
              </w:rPr>
              <w:t>RESP-3</w:t>
            </w:r>
            <w:r>
              <w:rPr>
                <w:rFonts w:ascii="Arial" w:eastAsia="Arial" w:hAnsi="Arial" w:cs="Arial"/>
                <w:sz w:val="22"/>
                <w:szCs w:val="22"/>
              </w:rPr>
              <w:t>. Redundant and reliable means to timely receive 24-hour official tsunami alerts are in place.</w:t>
            </w:r>
          </w:p>
        </w:tc>
      </w:tr>
      <w:tr w:rsidR="00ED50B6" w14:paraId="7C6D6071" w14:textId="77777777">
        <w:trPr>
          <w:trHeight w:val="288"/>
          <w:jc w:val="center"/>
        </w:trPr>
        <w:tc>
          <w:tcPr>
            <w:tcW w:w="535" w:type="dxa"/>
            <w:shd w:val="clear" w:color="auto" w:fill="E2EFD9"/>
          </w:tcPr>
          <w:p w14:paraId="00000040" w14:textId="77777777" w:rsidR="00ED50B6" w:rsidRDefault="00000000">
            <w:pPr>
              <w:jc w:val="center"/>
              <w:rPr>
                <w:rFonts w:ascii="Arial" w:eastAsia="Arial" w:hAnsi="Arial" w:cs="Arial"/>
                <w:sz w:val="22"/>
                <w:szCs w:val="22"/>
              </w:rPr>
            </w:pPr>
            <w:r>
              <w:rPr>
                <w:rFonts w:ascii="Arial" w:eastAsia="Arial" w:hAnsi="Arial" w:cs="Arial"/>
                <w:sz w:val="22"/>
                <w:szCs w:val="22"/>
              </w:rPr>
              <w:t>12</w:t>
            </w:r>
          </w:p>
        </w:tc>
        <w:tc>
          <w:tcPr>
            <w:tcW w:w="8280" w:type="dxa"/>
            <w:shd w:val="clear" w:color="auto" w:fill="E2EFD9"/>
          </w:tcPr>
          <w:p w14:paraId="00000041" w14:textId="77777777" w:rsidR="00ED50B6" w:rsidRDefault="00000000">
            <w:pPr>
              <w:ind w:left="144"/>
              <w:rPr>
                <w:rFonts w:ascii="Arial" w:eastAsia="Arial" w:hAnsi="Arial" w:cs="Arial"/>
                <w:sz w:val="22"/>
                <w:szCs w:val="22"/>
              </w:rPr>
            </w:pPr>
            <w:r>
              <w:rPr>
                <w:rFonts w:ascii="Arial" w:eastAsia="Arial" w:hAnsi="Arial" w:cs="Arial"/>
                <w:b/>
                <w:sz w:val="22"/>
                <w:szCs w:val="22"/>
              </w:rPr>
              <w:t>RESP-4</w:t>
            </w:r>
            <w:r>
              <w:rPr>
                <w:rFonts w:ascii="Arial" w:eastAsia="Arial" w:hAnsi="Arial" w:cs="Arial"/>
                <w:sz w:val="22"/>
                <w:szCs w:val="22"/>
              </w:rPr>
              <w:t>. Redundant and reliable means to timely disseminate 24-hour official tsunami alerts to the public are in place.</w:t>
            </w:r>
          </w:p>
        </w:tc>
      </w:tr>
    </w:tbl>
    <w:p w14:paraId="00000042" w14:textId="77777777" w:rsidR="00ED50B6" w:rsidRDefault="00ED50B6">
      <w:pPr>
        <w:spacing w:after="240"/>
        <w:jc w:val="both"/>
        <w:rPr>
          <w:rFonts w:ascii="Arial" w:eastAsia="Arial" w:hAnsi="Arial" w:cs="Arial"/>
          <w:sz w:val="22"/>
          <w:szCs w:val="22"/>
        </w:rPr>
      </w:pPr>
    </w:p>
    <w:p w14:paraId="00000043" w14:textId="77777777" w:rsidR="00ED50B6" w:rsidRDefault="00000000">
      <w:pPr>
        <w:pStyle w:val="Heading2"/>
        <w:numPr>
          <w:ilvl w:val="1"/>
          <w:numId w:val="8"/>
        </w:numPr>
        <w:spacing w:after="240"/>
        <w:jc w:val="both"/>
        <w:rPr>
          <w:rFonts w:ascii="Arial" w:eastAsia="Arial" w:hAnsi="Arial" w:cs="Arial"/>
          <w:sz w:val="22"/>
          <w:szCs w:val="22"/>
        </w:rPr>
      </w:pPr>
      <w:r>
        <w:rPr>
          <w:rFonts w:ascii="Arial" w:eastAsia="Arial" w:hAnsi="Arial" w:cs="Arial"/>
          <w:sz w:val="22"/>
          <w:szCs w:val="22"/>
        </w:rPr>
        <w:t>The need to consider equivalency</w:t>
      </w:r>
    </w:p>
    <w:p w14:paraId="00000044"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The implementation of the Tsunami Ready Recognition Programme was intended to be a key tool to achieving the goal of ‘100% of communities at risk of tsunami prepared for and resilient to tsunamis by 2030‘. The programme therefore is generally used as the framework and language to measure tsunami preparedness towards this global goal. </w:t>
      </w:r>
    </w:p>
    <w:p w14:paraId="00000045"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While wherever possible, it would be preferred that the Tsunami Ready Recognition Programme was directly implemented, this may not always be practical in countries which have existing tsunami preparedness programmes. In such cases, the implementation of formal recognition may result in additional costs, duplication of strategies, and the risk of confusion between the global, national and local frameworks. It is therefore recognized that an approach is needed to enable such countries to contribute to the UN Ocean Decade goal.  </w:t>
      </w:r>
    </w:p>
    <w:p w14:paraId="00000046"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This document therefore presents Standard Guidelines for the description and reporting of existing tsunami risk management strategies in a manner similar to the Tsunami Ready Recognition Programme, with the following principles:</w:t>
      </w:r>
    </w:p>
    <w:p w14:paraId="00000047"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sdt>
        <w:sdtPr>
          <w:tag w:val="goog_rdk_1"/>
          <w:id w:val="372503366"/>
        </w:sdtPr>
        <w:sdtContent>
          <w:commentRangeStart w:id="2"/>
        </w:sdtContent>
      </w:sdt>
      <w:r>
        <w:rPr>
          <w:rFonts w:ascii="Arial" w:eastAsia="Arial" w:hAnsi="Arial" w:cs="Arial"/>
          <w:color w:val="000000"/>
          <w:sz w:val="22"/>
          <w:szCs w:val="22"/>
        </w:rPr>
        <w:t xml:space="preserve">It provides similarly strong motivation to ensure tsunami resilience. </w:t>
      </w:r>
    </w:p>
    <w:p w14:paraId="00000048"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The twelve indicators of the Tsunami Ready Recognition Programme are used to promote global consistency in reporting and measurement of tsunami preparedness.</w:t>
      </w:r>
    </w:p>
    <w:p w14:paraId="00000049" w14:textId="77777777" w:rsidR="00ED50B6" w:rsidRDefault="00000000">
      <w:pPr>
        <w:numPr>
          <w:ilvl w:val="0"/>
          <w:numId w:val="3"/>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It builds upon a state’s existing programmes, capacities and strengths.</w:t>
      </w:r>
    </w:p>
    <w:p w14:paraId="0000004A" w14:textId="77777777" w:rsidR="00ED50B6" w:rsidRDefault="00000000">
      <w:pPr>
        <w:numPr>
          <w:ilvl w:val="0"/>
          <w:numId w:val="3"/>
        </w:numPr>
        <w:pBdr>
          <w:top w:val="nil"/>
          <w:left w:val="nil"/>
          <w:bottom w:val="nil"/>
          <w:right w:val="nil"/>
          <w:between w:val="nil"/>
        </w:pBdr>
        <w:spacing w:after="240"/>
        <w:ind w:left="714" w:hanging="357"/>
        <w:jc w:val="both"/>
        <w:rPr>
          <w:rFonts w:ascii="Arial" w:eastAsia="Arial" w:hAnsi="Arial" w:cs="Arial"/>
          <w:color w:val="000000"/>
          <w:sz w:val="22"/>
          <w:szCs w:val="22"/>
        </w:rPr>
      </w:pPr>
      <w:r>
        <w:rPr>
          <w:rFonts w:ascii="Arial" w:eastAsia="Arial" w:hAnsi="Arial" w:cs="Arial"/>
          <w:color w:val="000000"/>
          <w:sz w:val="22"/>
          <w:szCs w:val="22"/>
        </w:rPr>
        <w:t xml:space="preserve">It contributes to Intergovernmental Coordination Group progress reporting for the UN Ocean Decade Tsunami Programme. </w:t>
      </w:r>
      <w:commentRangeEnd w:id="2"/>
      <w:r>
        <w:commentReference w:id="2"/>
      </w:r>
    </w:p>
    <w:p w14:paraId="0000004B" w14:textId="77777777" w:rsidR="00ED50B6" w:rsidRDefault="00000000">
      <w:pPr>
        <w:pStyle w:val="Heading1"/>
        <w:numPr>
          <w:ilvl w:val="0"/>
          <w:numId w:val="8"/>
        </w:numPr>
        <w:rPr>
          <w:rFonts w:ascii="Arial" w:eastAsia="Arial" w:hAnsi="Arial"/>
          <w:sz w:val="22"/>
          <w:szCs w:val="22"/>
        </w:rPr>
      </w:pPr>
      <w:r>
        <w:rPr>
          <w:rFonts w:ascii="Arial" w:eastAsia="Arial" w:hAnsi="Arial"/>
          <w:sz w:val="22"/>
          <w:szCs w:val="22"/>
        </w:rPr>
        <w:lastRenderedPageBreak/>
        <w:t>Implementation of the Equivalency Approach</w:t>
      </w:r>
      <w:r>
        <w:rPr>
          <w:noProof/>
        </w:rPr>
        <mc:AlternateContent>
          <mc:Choice Requires="wps">
            <w:drawing>
              <wp:anchor distT="0" distB="0" distL="114300" distR="114300" simplePos="0" relativeHeight="251660288" behindDoc="0" locked="0" layoutInCell="1" hidden="0" allowOverlap="1" wp14:anchorId="406FA5A7" wp14:editId="1632CA18">
                <wp:simplePos x="0" y="0"/>
                <wp:positionH relativeFrom="column">
                  <wp:posOffset>114300</wp:posOffset>
                </wp:positionH>
                <wp:positionV relativeFrom="paragraph">
                  <wp:posOffset>0</wp:posOffset>
                </wp:positionV>
                <wp:extent cx="0" cy="12700"/>
                <wp:effectExtent l="0" t="0" r="0" b="0"/>
                <wp:wrapNone/>
                <wp:docPr id="2338" name="Straight Arrow Connector 2338"/>
                <wp:cNvGraphicFramePr/>
                <a:graphic xmlns:a="http://schemas.openxmlformats.org/drawingml/2006/main">
                  <a:graphicData uri="http://schemas.microsoft.com/office/word/2010/wordprocessingShape">
                    <wps:wsp>
                      <wps:cNvCnPr/>
                      <wps:spPr>
                        <a:xfrm rot="10800000" flipH="1">
                          <a:off x="5319966" y="3999075"/>
                          <a:ext cx="5783579" cy="30479"/>
                        </a:xfrm>
                        <a:prstGeom prst="straightConnector1">
                          <a:avLst/>
                        </a:prstGeom>
                        <a:solidFill>
                          <a:srgbClr val="FFFFFF"/>
                        </a:solidFill>
                        <a:ln w="12700" cap="flat" cmpd="sng">
                          <a:solidFill>
                            <a:srgbClr val="4472C4"/>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338"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04C" w14:textId="77777777" w:rsidR="00ED50B6" w:rsidRDefault="00000000">
      <w:pPr>
        <w:rPr>
          <w:rFonts w:ascii="Arial" w:eastAsia="Arial" w:hAnsi="Arial" w:cs="Arial"/>
          <w:sz w:val="22"/>
          <w:szCs w:val="22"/>
        </w:rPr>
      </w:pPr>
      <w:r>
        <w:rPr>
          <w:rFonts w:ascii="Arial" w:eastAsia="Arial" w:hAnsi="Arial" w:cs="Arial"/>
          <w:sz w:val="22"/>
          <w:szCs w:val="22"/>
        </w:rPr>
        <w:t xml:space="preserve">Implementation of the “equivalency’ approach is in three parts which together ensure that appropriate governance structures and access to expertise is in place, assessment is done against the Tsunami Ready Recognition Programme framework, and that the outcomes contribute to the UN Ocean Decade reporting. </w:t>
      </w:r>
    </w:p>
    <w:p w14:paraId="0000004D" w14:textId="77777777" w:rsidR="00ED50B6" w:rsidRDefault="00ED50B6"/>
    <w:p w14:paraId="0000004E" w14:textId="77777777" w:rsidR="00ED50B6" w:rsidRDefault="00000000">
      <w:pPr>
        <w:spacing w:after="240"/>
        <w:ind w:left="720"/>
        <w:jc w:val="both"/>
        <w:rPr>
          <w:rFonts w:ascii="Arial" w:eastAsia="Arial" w:hAnsi="Arial" w:cs="Arial"/>
          <w:b/>
          <w:color w:val="4472C4"/>
          <w:sz w:val="22"/>
          <w:szCs w:val="22"/>
        </w:rPr>
      </w:pPr>
      <w:r>
        <w:rPr>
          <w:rFonts w:ascii="Arial" w:eastAsia="Arial" w:hAnsi="Arial" w:cs="Arial"/>
          <w:b/>
          <w:color w:val="4472C4"/>
          <w:sz w:val="22"/>
          <w:szCs w:val="22"/>
        </w:rPr>
        <w:t xml:space="preserve">3.1. Identification or establishment of national governance </w:t>
      </w:r>
    </w:p>
    <w:p w14:paraId="0000004F"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National governance should be in place in order to provide oversight of this process.  In many cases an existing governance body may be able to be identified for this purpose to avoid duplication, or a bespoke </w:t>
      </w:r>
      <w:sdt>
        <w:sdtPr>
          <w:tag w:val="goog_rdk_2"/>
          <w:id w:val="2134906103"/>
        </w:sdtPr>
        <w:sdtContent>
          <w:commentRangeStart w:id="3"/>
        </w:sdtContent>
      </w:sdt>
      <w:r>
        <w:rPr>
          <w:rFonts w:ascii="Arial" w:eastAsia="Arial" w:hAnsi="Arial" w:cs="Arial"/>
          <w:sz w:val="22"/>
          <w:szCs w:val="22"/>
          <w:shd w:val="clear" w:color="auto" w:fill="F4CCCC"/>
        </w:rPr>
        <w:t>National Tsunami Ready Board</w:t>
      </w:r>
      <w:commentRangeEnd w:id="3"/>
      <w:r>
        <w:commentReference w:id="3"/>
      </w:r>
      <w:r>
        <w:rPr>
          <w:rFonts w:ascii="Arial" w:eastAsia="Arial" w:hAnsi="Arial" w:cs="Arial"/>
          <w:sz w:val="22"/>
          <w:szCs w:val="22"/>
        </w:rPr>
        <w:t xml:space="preserve"> could be established. </w:t>
      </w:r>
    </w:p>
    <w:p w14:paraId="00000050"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Such a governance mechanism should consist of designated representatives of:</w:t>
      </w:r>
    </w:p>
    <w:p w14:paraId="00000051" w14:textId="77777777" w:rsidR="00ED50B6"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National Emergency Management Agency or Disaster Management Office </w:t>
      </w:r>
    </w:p>
    <w:p w14:paraId="00000052" w14:textId="77777777" w:rsidR="00ED50B6"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National Tsunami Warning Centre</w:t>
      </w:r>
    </w:p>
    <w:p w14:paraId="00000053" w14:textId="77777777" w:rsidR="00ED50B6"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Tsunami National Contact</w:t>
      </w:r>
    </w:p>
    <w:p w14:paraId="00000054" w14:textId="77777777" w:rsidR="00ED50B6" w:rsidRDefault="00000000">
      <w:pPr>
        <w:numPr>
          <w:ilvl w:val="0"/>
          <w:numId w:val="5"/>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The scientific community </w:t>
      </w:r>
    </w:p>
    <w:p w14:paraId="00000055"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It may also contain other guests either at discretion of the Chair, or relevant to other purposes. </w:t>
      </w:r>
    </w:p>
    <w:p w14:paraId="00000056"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The functions of this governance group will be to:</w:t>
      </w:r>
    </w:p>
    <w:p w14:paraId="00000057" w14:textId="77777777" w:rsidR="00ED50B6" w:rsidRDefault="00000000">
      <w:pPr>
        <w:numPr>
          <w:ilvl w:val="0"/>
          <w:numId w:val="6"/>
        </w:numPr>
        <w:jc w:val="both"/>
        <w:rPr>
          <w:rFonts w:ascii="Arial" w:eastAsia="Arial" w:hAnsi="Arial" w:cs="Arial"/>
          <w:sz w:val="22"/>
          <w:szCs w:val="22"/>
        </w:rPr>
      </w:pPr>
      <w:r>
        <w:rPr>
          <w:rFonts w:ascii="Arial" w:eastAsia="Arial" w:hAnsi="Arial" w:cs="Arial"/>
          <w:sz w:val="22"/>
          <w:szCs w:val="22"/>
        </w:rPr>
        <w:t xml:space="preserve">Provide expert interpretation of the tsunami ready indicators in the country's own context </w:t>
      </w:r>
    </w:p>
    <w:p w14:paraId="00000058" w14:textId="77777777" w:rsidR="00ED50B6" w:rsidRDefault="00000000">
      <w:pPr>
        <w:numPr>
          <w:ilvl w:val="0"/>
          <w:numId w:val="6"/>
        </w:numPr>
        <w:jc w:val="both"/>
        <w:rPr>
          <w:rFonts w:ascii="Arial" w:eastAsia="Arial" w:hAnsi="Arial" w:cs="Arial"/>
          <w:sz w:val="22"/>
          <w:szCs w:val="22"/>
        </w:rPr>
      </w:pPr>
      <w:r>
        <w:rPr>
          <w:rFonts w:ascii="Arial" w:eastAsia="Arial" w:hAnsi="Arial" w:cs="Arial"/>
          <w:sz w:val="22"/>
          <w:szCs w:val="22"/>
        </w:rPr>
        <w:t xml:space="preserve">Provide expert commentary on the definition of community in the country’s own context </w:t>
      </w:r>
    </w:p>
    <w:p w14:paraId="00000059" w14:textId="77777777" w:rsidR="00ED50B6" w:rsidRDefault="00000000">
      <w:pPr>
        <w:numPr>
          <w:ilvl w:val="0"/>
          <w:numId w:val="6"/>
        </w:numPr>
        <w:spacing w:after="240"/>
        <w:jc w:val="both"/>
        <w:rPr>
          <w:rFonts w:ascii="Arial" w:eastAsia="Arial" w:hAnsi="Arial" w:cs="Arial"/>
          <w:sz w:val="22"/>
          <w:szCs w:val="22"/>
        </w:rPr>
      </w:pPr>
      <w:r>
        <w:rPr>
          <w:rFonts w:ascii="Arial" w:eastAsia="Arial" w:hAnsi="Arial" w:cs="Arial"/>
          <w:sz w:val="22"/>
          <w:szCs w:val="22"/>
        </w:rPr>
        <w:t xml:space="preserve">Approve the implementation of this equivalency process </w:t>
      </w:r>
    </w:p>
    <w:p w14:paraId="0000005A"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Should formal Tsunami Ready Recognition appropriately wish to be pursued by any individual community, this governance structure may be able to be utilized for the recognition process as per IOC MG 74. </w:t>
      </w:r>
    </w:p>
    <w:p w14:paraId="0000005B" w14:textId="77777777" w:rsidR="00ED50B6" w:rsidRDefault="00000000">
      <w:pPr>
        <w:spacing w:after="240"/>
        <w:ind w:left="720"/>
        <w:jc w:val="both"/>
        <w:rPr>
          <w:rFonts w:ascii="Arial" w:eastAsia="Arial" w:hAnsi="Arial" w:cs="Arial"/>
          <w:b/>
          <w:color w:val="4472C4"/>
          <w:sz w:val="22"/>
          <w:szCs w:val="22"/>
        </w:rPr>
      </w:pPr>
      <w:r>
        <w:rPr>
          <w:rFonts w:ascii="Arial" w:eastAsia="Arial" w:hAnsi="Arial" w:cs="Arial"/>
          <w:b/>
          <w:color w:val="4472C4"/>
          <w:sz w:val="22"/>
          <w:szCs w:val="22"/>
        </w:rPr>
        <w:t>3.2 Assessment of tsunami preparedness and resiliency</w:t>
      </w:r>
    </w:p>
    <w:p w14:paraId="0000005C" w14:textId="77777777" w:rsidR="00ED50B6" w:rsidRDefault="00000000">
      <w:pPr>
        <w:numPr>
          <w:ilvl w:val="0"/>
          <w:numId w:val="1"/>
        </w:numPr>
        <w:pBdr>
          <w:top w:val="nil"/>
          <w:left w:val="nil"/>
          <w:bottom w:val="nil"/>
          <w:right w:val="nil"/>
          <w:between w:val="nil"/>
        </w:pBdr>
        <w:spacing w:after="240"/>
        <w:jc w:val="both"/>
        <w:rPr>
          <w:rFonts w:ascii="Arial" w:eastAsia="Arial" w:hAnsi="Arial" w:cs="Arial"/>
          <w:i/>
          <w:color w:val="000000"/>
          <w:sz w:val="22"/>
          <w:szCs w:val="22"/>
        </w:rPr>
      </w:pPr>
      <w:r>
        <w:rPr>
          <w:rFonts w:ascii="Arial" w:eastAsia="Arial" w:hAnsi="Arial" w:cs="Arial"/>
          <w:i/>
          <w:color w:val="000000"/>
          <w:sz w:val="22"/>
          <w:szCs w:val="22"/>
        </w:rPr>
        <w:t>Define Community</w:t>
      </w:r>
    </w:p>
    <w:p w14:paraId="0000005D"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In order to be able to measure progress towards indicators, the most pragmatic definition of ‘community’ must be considered, so that assessment can be conducted in a meaningful but sustainable manner. </w:t>
      </w:r>
    </w:p>
    <w:p w14:paraId="0000005E"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This is generally recommended to be the most appropriate structure or authority that has legislative responsibilities or governance authority with respect to disaster management. It is important that the level of community identified is appropriate for each countries’ existing disaster management preparedness context, and it is likely that this will align closely with existing reporting where this exists. </w:t>
      </w:r>
    </w:p>
    <w:p w14:paraId="0000005F"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A country should identify how they are going to measure proportional national progress, either through identifying the total number of communities, or some other metric. </w:t>
      </w:r>
    </w:p>
    <w:p w14:paraId="00000060" w14:textId="77777777" w:rsidR="00ED50B6" w:rsidRDefault="00000000">
      <w:pPr>
        <w:spacing w:after="240"/>
        <w:jc w:val="both"/>
        <w:rPr>
          <w:rFonts w:ascii="Arial" w:eastAsia="Arial" w:hAnsi="Arial" w:cs="Arial"/>
          <w:sz w:val="22"/>
          <w:szCs w:val="22"/>
          <w:highlight w:val="yellow"/>
        </w:rPr>
      </w:pPr>
      <w:r>
        <w:rPr>
          <w:rFonts w:ascii="Arial" w:eastAsia="Arial" w:hAnsi="Arial" w:cs="Arial"/>
          <w:sz w:val="22"/>
          <w:szCs w:val="22"/>
          <w:highlight w:val="yellow"/>
        </w:rPr>
        <w:t>[include examples of community definitions]</w:t>
      </w:r>
    </w:p>
    <w:p w14:paraId="00000061" w14:textId="77777777" w:rsidR="00ED50B6" w:rsidRDefault="00000000">
      <w:pPr>
        <w:numPr>
          <w:ilvl w:val="0"/>
          <w:numId w:val="7"/>
        </w:numPr>
        <w:pBdr>
          <w:top w:val="nil"/>
          <w:left w:val="nil"/>
          <w:bottom w:val="nil"/>
          <w:right w:val="nil"/>
          <w:between w:val="nil"/>
        </w:pBdr>
        <w:spacing w:after="240"/>
        <w:jc w:val="both"/>
        <w:rPr>
          <w:rFonts w:ascii="Arial" w:eastAsia="Arial" w:hAnsi="Arial" w:cs="Arial"/>
          <w:i/>
          <w:color w:val="000000"/>
          <w:sz w:val="22"/>
          <w:szCs w:val="22"/>
        </w:rPr>
      </w:pPr>
      <w:r>
        <w:rPr>
          <w:rFonts w:ascii="Arial" w:eastAsia="Arial" w:hAnsi="Arial" w:cs="Arial"/>
          <w:i/>
          <w:color w:val="000000"/>
          <w:sz w:val="22"/>
          <w:szCs w:val="22"/>
        </w:rPr>
        <w:t>Conduct a cross-referencing process</w:t>
      </w:r>
    </w:p>
    <w:p w14:paraId="00000062"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lastRenderedPageBreak/>
        <w:t xml:space="preserve">At a national level, a review should be conducted of all existing activities and strategies that contribute to tsunami preparedness as described by the Tsunami Ready Recognition Programme indicators. The purpose of this is the identification of where Tsunami Ready indicators are already being met through existing national or community disaster management or tsunami preparedness efforts. Where indicators are not being met, it could be considered where improvements could be made. </w:t>
      </w:r>
    </w:p>
    <w:p w14:paraId="00000063"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Examples of existing material may include, but is not limited to:</w:t>
      </w:r>
    </w:p>
    <w:p w14:paraId="00000064"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Disaster Risk Reduction Strategies </w:t>
      </w:r>
    </w:p>
    <w:p w14:paraId="00000065"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Community or National Response Plans</w:t>
      </w:r>
    </w:p>
    <w:p w14:paraId="00000066"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National Warning Centres, Systems and Plans </w:t>
      </w:r>
    </w:p>
    <w:p w14:paraId="00000067"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Legislation and Frameworks</w:t>
      </w:r>
    </w:p>
    <w:p w14:paraId="00000068"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Community or National reporting </w:t>
      </w:r>
    </w:p>
    <w:p w14:paraId="00000069" w14:textId="77777777" w:rsidR="00ED50B6"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Hazard or Evacuation Maps </w:t>
      </w:r>
    </w:p>
    <w:p w14:paraId="0000006A" w14:textId="77777777" w:rsidR="00ED50B6" w:rsidRDefault="00000000">
      <w:pPr>
        <w:numPr>
          <w:ilvl w:val="0"/>
          <w:numId w:val="2"/>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National or community outreach and awareness materials</w:t>
      </w:r>
    </w:p>
    <w:p w14:paraId="0000006B"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The cross-referencing guide in Annex Two can be used to help compare country activities in a ‘Tsunami Ready’ format. Even if the community's existing reporting to the state does not allow for the determination of whether preparedness activities meet the quantitative criteria, if it is believed that the preparedness activities conducted by the communities in accordance with the law contribute appropriately to an indicator in the communities, this can be appropriately recorded as justification to meet the overall indicator. </w:t>
      </w:r>
    </w:p>
    <w:p w14:paraId="0000006C"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This review, along with supporting documentation such as plans, should then be verified by the established governance mechanism (NTRB or equivalent). The cross-referencing process should be completed at least once every four years, in alignment with the Tsunami Ready Recognition Programme renewal timeframe.</w:t>
      </w:r>
    </w:p>
    <w:p w14:paraId="0000006D" w14:textId="77777777" w:rsidR="00ED50B6" w:rsidRDefault="00000000">
      <w:pPr>
        <w:spacing w:after="240"/>
        <w:ind w:left="720"/>
        <w:jc w:val="both"/>
        <w:rPr>
          <w:rFonts w:ascii="Arial" w:eastAsia="Arial" w:hAnsi="Arial" w:cs="Arial"/>
          <w:b/>
          <w:color w:val="4472C4"/>
          <w:sz w:val="22"/>
          <w:szCs w:val="22"/>
        </w:rPr>
      </w:pPr>
      <w:r>
        <w:rPr>
          <w:rFonts w:ascii="Arial" w:eastAsia="Arial" w:hAnsi="Arial" w:cs="Arial"/>
          <w:b/>
          <w:color w:val="4472C4"/>
          <w:sz w:val="22"/>
          <w:szCs w:val="22"/>
        </w:rPr>
        <w:t xml:space="preserve">3.3 Reporting of Progress </w:t>
      </w:r>
    </w:p>
    <w:p w14:paraId="0000006E"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PTWS Member States should report the progress of either Tsunami Ready Recognition Programme Implementation or through the equivalency approach through national reporting to the ICG. </w:t>
      </w:r>
    </w:p>
    <w:p w14:paraId="0000006F"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 xml:space="preserve">Future PTWS KPI and National Reporting changes are yet to be finalized and implemented, but the reporting should be along the lines of the following: </w:t>
      </w:r>
    </w:p>
    <w:p w14:paraId="00000070" w14:textId="77777777" w:rsidR="00ED50B6"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What % of your at risk communities are ‘prepared for and resilient to tsunami’ [or are consistent with the Tsunami Ready Framework]. </w:t>
      </w:r>
    </w:p>
    <w:p w14:paraId="00000071" w14:textId="77777777" w:rsidR="00ED50B6" w:rsidRDefault="00ED50B6">
      <w:pPr>
        <w:pBdr>
          <w:top w:val="nil"/>
          <w:left w:val="nil"/>
          <w:bottom w:val="nil"/>
          <w:right w:val="nil"/>
          <w:between w:val="nil"/>
        </w:pBdr>
        <w:jc w:val="both"/>
        <w:rPr>
          <w:rFonts w:ascii="Arial" w:eastAsia="Arial" w:hAnsi="Arial" w:cs="Arial"/>
          <w:sz w:val="22"/>
          <w:szCs w:val="22"/>
        </w:rPr>
      </w:pPr>
    </w:p>
    <w:p w14:paraId="00000072" w14:textId="77777777" w:rsidR="00ED50B6" w:rsidRDefault="00ED50B6">
      <w:pPr>
        <w:spacing w:after="240"/>
        <w:jc w:val="both"/>
        <w:rPr>
          <w:rFonts w:ascii="Arial" w:eastAsia="Arial" w:hAnsi="Arial" w:cs="Arial"/>
          <w:sz w:val="22"/>
          <w:szCs w:val="22"/>
        </w:rPr>
      </w:pPr>
    </w:p>
    <w:p w14:paraId="00000073" w14:textId="77777777" w:rsidR="00ED50B6" w:rsidRDefault="00000000">
      <w:pPr>
        <w:pStyle w:val="Heading1"/>
        <w:numPr>
          <w:ilvl w:val="0"/>
          <w:numId w:val="8"/>
        </w:numPr>
        <w:jc w:val="both"/>
        <w:rPr>
          <w:rFonts w:ascii="Arial" w:eastAsia="Arial" w:hAnsi="Arial"/>
          <w:sz w:val="22"/>
          <w:szCs w:val="22"/>
        </w:rPr>
      </w:pPr>
      <w:r>
        <w:rPr>
          <w:rFonts w:ascii="Arial" w:eastAsia="Arial" w:hAnsi="Arial"/>
          <w:sz w:val="22"/>
          <w:szCs w:val="22"/>
        </w:rPr>
        <w:t>Resources Needed</w:t>
      </w:r>
      <w:r>
        <w:rPr>
          <w:noProof/>
        </w:rPr>
        <mc:AlternateContent>
          <mc:Choice Requires="wps">
            <w:drawing>
              <wp:anchor distT="0" distB="0" distL="114300" distR="114300" simplePos="0" relativeHeight="251661312" behindDoc="0" locked="0" layoutInCell="1" hidden="0" allowOverlap="1" wp14:anchorId="357FBDB5" wp14:editId="009D8B12">
                <wp:simplePos x="0" y="0"/>
                <wp:positionH relativeFrom="column">
                  <wp:posOffset>114300</wp:posOffset>
                </wp:positionH>
                <wp:positionV relativeFrom="paragraph">
                  <wp:posOffset>0</wp:posOffset>
                </wp:positionV>
                <wp:extent cx="0" cy="12700"/>
                <wp:effectExtent l="0" t="0" r="0" b="0"/>
                <wp:wrapNone/>
                <wp:docPr id="2335" name="Straight Arrow Connector 2335"/>
                <wp:cNvGraphicFramePr/>
                <a:graphic xmlns:a="http://schemas.openxmlformats.org/drawingml/2006/main">
                  <a:graphicData uri="http://schemas.microsoft.com/office/word/2010/wordprocessingShape">
                    <wps:wsp>
                      <wps:cNvCnPr/>
                      <wps:spPr>
                        <a:xfrm rot="10800000" flipH="1">
                          <a:off x="5319966" y="4059400"/>
                          <a:ext cx="5783579" cy="30480"/>
                        </a:xfrm>
                        <a:prstGeom prst="straightConnector1">
                          <a:avLst/>
                        </a:prstGeom>
                        <a:solidFill>
                          <a:srgbClr val="FFFFFF"/>
                        </a:solidFill>
                        <a:ln w="12700" cap="flat" cmpd="sng">
                          <a:solidFill>
                            <a:srgbClr val="4472C4"/>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335"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14:paraId="00000074"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to be completed following implementation trials, but expect to be limited to national coordination and administration for reporting</w:t>
      </w:r>
      <w:r>
        <w:rPr>
          <w:rFonts w:ascii="Arial" w:eastAsia="Arial" w:hAnsi="Arial" w:cs="Arial"/>
          <w:sz w:val="22"/>
          <w:szCs w:val="22"/>
        </w:rPr>
        <w:t>]</w:t>
      </w:r>
    </w:p>
    <w:p w14:paraId="00000075" w14:textId="77777777" w:rsidR="00ED50B6" w:rsidRDefault="00ED50B6">
      <w:pPr>
        <w:spacing w:after="240"/>
        <w:jc w:val="both"/>
        <w:rPr>
          <w:rFonts w:ascii="Arial" w:eastAsia="Arial" w:hAnsi="Arial" w:cs="Arial"/>
          <w:sz w:val="22"/>
          <w:szCs w:val="22"/>
        </w:rPr>
      </w:pPr>
    </w:p>
    <w:p w14:paraId="00000076" w14:textId="77777777" w:rsidR="00ED50B6" w:rsidRDefault="00000000">
      <w:pPr>
        <w:pStyle w:val="Heading1"/>
        <w:numPr>
          <w:ilvl w:val="0"/>
          <w:numId w:val="8"/>
        </w:numPr>
        <w:jc w:val="both"/>
        <w:rPr>
          <w:rFonts w:ascii="Arial" w:eastAsia="Arial" w:hAnsi="Arial"/>
          <w:sz w:val="22"/>
          <w:szCs w:val="22"/>
        </w:rPr>
      </w:pPr>
      <w:r>
        <w:rPr>
          <w:rFonts w:ascii="Arial" w:eastAsia="Arial" w:hAnsi="Arial"/>
          <w:sz w:val="22"/>
          <w:szCs w:val="22"/>
        </w:rPr>
        <w:t xml:space="preserve">Tools and References </w:t>
      </w:r>
      <w:r>
        <w:rPr>
          <w:noProof/>
        </w:rPr>
        <mc:AlternateContent>
          <mc:Choice Requires="wps">
            <w:drawing>
              <wp:anchor distT="0" distB="0" distL="114300" distR="114300" simplePos="0" relativeHeight="251662336" behindDoc="0" locked="0" layoutInCell="1" hidden="0" allowOverlap="1" wp14:anchorId="36ECDB80" wp14:editId="37AD8C8D">
                <wp:simplePos x="0" y="0"/>
                <wp:positionH relativeFrom="column">
                  <wp:posOffset>114300</wp:posOffset>
                </wp:positionH>
                <wp:positionV relativeFrom="paragraph">
                  <wp:posOffset>0</wp:posOffset>
                </wp:positionV>
                <wp:extent cx="0" cy="12700"/>
                <wp:effectExtent l="0" t="0" r="0" b="0"/>
                <wp:wrapNone/>
                <wp:docPr id="2336" name="Straight Arrow Connector 2336"/>
                <wp:cNvGraphicFramePr/>
                <a:graphic xmlns:a="http://schemas.openxmlformats.org/drawingml/2006/main">
                  <a:graphicData uri="http://schemas.microsoft.com/office/word/2010/wordprocessingShape">
                    <wps:wsp>
                      <wps:cNvCnPr/>
                      <wps:spPr>
                        <a:xfrm rot="10800000" flipH="1">
                          <a:off x="5319966" y="4053050"/>
                          <a:ext cx="5783579" cy="30480"/>
                        </a:xfrm>
                        <a:prstGeom prst="straightConnector1">
                          <a:avLst/>
                        </a:prstGeom>
                        <a:solidFill>
                          <a:srgbClr val="FFFFFF"/>
                        </a:solidFill>
                        <a:ln w="12700" cap="flat" cmpd="sng">
                          <a:solidFill>
                            <a:srgbClr val="4472C4"/>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33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14:paraId="00000077" w14:textId="77777777" w:rsidR="00ED50B6" w:rsidRDefault="00000000">
      <w:pPr>
        <w:spacing w:after="240"/>
        <w:jc w:val="both"/>
        <w:rPr>
          <w:rFonts w:ascii="Arial" w:eastAsia="Arial" w:hAnsi="Arial" w:cs="Arial"/>
          <w:sz w:val="22"/>
          <w:szCs w:val="22"/>
        </w:rPr>
      </w:pPr>
      <w:r>
        <w:rPr>
          <w:rFonts w:ascii="Arial" w:eastAsia="Arial" w:hAnsi="Arial" w:cs="Arial"/>
          <w:sz w:val="22"/>
          <w:szCs w:val="22"/>
        </w:rPr>
        <w:t>The following list offers information resources that may be appropriate reference for the implementation of this approach:</w:t>
      </w:r>
    </w:p>
    <w:p w14:paraId="00000078" w14:textId="77777777" w:rsidR="00ED50B6" w:rsidRDefault="00000000">
      <w:pPr>
        <w:numPr>
          <w:ilvl w:val="0"/>
          <w:numId w:val="4"/>
        </w:numPr>
        <w:pBdr>
          <w:top w:val="nil"/>
          <w:left w:val="nil"/>
          <w:bottom w:val="nil"/>
          <w:right w:val="nil"/>
          <w:between w:val="nil"/>
        </w:pBdr>
        <w:jc w:val="both"/>
        <w:rPr>
          <w:rFonts w:ascii="Arial" w:eastAsia="Arial" w:hAnsi="Arial" w:cs="Arial"/>
          <w:color w:val="000000"/>
          <w:sz w:val="22"/>
          <w:szCs w:val="22"/>
          <w:highlight w:val="yellow"/>
        </w:rPr>
      </w:pPr>
      <w:r>
        <w:rPr>
          <w:rFonts w:ascii="Arial" w:eastAsia="Arial" w:hAnsi="Arial" w:cs="Arial"/>
          <w:color w:val="000000"/>
          <w:sz w:val="22"/>
          <w:szCs w:val="22"/>
          <w:highlight w:val="yellow"/>
        </w:rPr>
        <w:lastRenderedPageBreak/>
        <w:t>MG74</w:t>
      </w:r>
    </w:p>
    <w:p w14:paraId="00000079" w14:textId="77777777" w:rsidR="00ED50B6" w:rsidRDefault="00000000">
      <w:pPr>
        <w:numPr>
          <w:ilvl w:val="0"/>
          <w:numId w:val="4"/>
        </w:numPr>
        <w:pBdr>
          <w:top w:val="nil"/>
          <w:left w:val="nil"/>
          <w:bottom w:val="nil"/>
          <w:right w:val="nil"/>
          <w:between w:val="nil"/>
        </w:pBdr>
        <w:jc w:val="both"/>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Tsunami Ready Recognition Programme Website </w:t>
      </w:r>
    </w:p>
    <w:p w14:paraId="0000007A" w14:textId="77777777" w:rsidR="00ED50B6" w:rsidRDefault="00000000">
      <w:pPr>
        <w:numPr>
          <w:ilvl w:val="0"/>
          <w:numId w:val="4"/>
        </w:numPr>
        <w:pBdr>
          <w:top w:val="nil"/>
          <w:left w:val="nil"/>
          <w:bottom w:val="nil"/>
          <w:right w:val="nil"/>
          <w:between w:val="nil"/>
        </w:pBdr>
        <w:spacing w:after="240"/>
        <w:jc w:val="both"/>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 </w:t>
      </w:r>
    </w:p>
    <w:p w14:paraId="0000007B" w14:textId="77777777" w:rsidR="00ED50B6" w:rsidRDefault="00ED50B6">
      <w:pPr>
        <w:spacing w:after="240"/>
        <w:jc w:val="both"/>
        <w:rPr>
          <w:rFonts w:ascii="Arial" w:eastAsia="Arial" w:hAnsi="Arial" w:cs="Arial"/>
          <w:sz w:val="22"/>
          <w:szCs w:val="22"/>
        </w:rPr>
      </w:pPr>
    </w:p>
    <w:p w14:paraId="0000007C" w14:textId="77777777" w:rsidR="00ED50B6" w:rsidRDefault="00000000">
      <w:pPr>
        <w:spacing w:after="160" w:line="259" w:lineRule="auto"/>
      </w:pPr>
      <w:sdt>
        <w:sdtPr>
          <w:tag w:val="goog_rdk_3"/>
          <w:id w:val="2099136341"/>
        </w:sdtPr>
        <w:sdtContent>
          <w:commentRangeStart w:id="4"/>
        </w:sdtContent>
      </w:sdt>
      <w:r>
        <w:rPr>
          <w:rFonts w:ascii="Arial" w:eastAsia="Arial" w:hAnsi="Arial" w:cs="Arial"/>
          <w:b/>
          <w:color w:val="4472C4"/>
          <w:highlight w:val="yellow"/>
        </w:rPr>
        <w:t>Annex 1. Glossary of Terms</w:t>
      </w:r>
      <w:commentRangeEnd w:id="4"/>
      <w:r>
        <w:commentReference w:id="4"/>
      </w:r>
      <w:r>
        <w:br w:type="page"/>
      </w:r>
    </w:p>
    <w:p w14:paraId="0000007D" w14:textId="77777777" w:rsidR="00ED50B6" w:rsidRDefault="00000000">
      <w:pPr>
        <w:pBdr>
          <w:bottom w:val="single" w:sz="4" w:space="1" w:color="000000"/>
        </w:pBdr>
        <w:rPr>
          <w:rFonts w:ascii="Arial" w:eastAsia="Arial" w:hAnsi="Arial" w:cs="Arial"/>
          <w:b/>
          <w:color w:val="4472C4"/>
        </w:rPr>
      </w:pPr>
      <w:r>
        <w:rPr>
          <w:rFonts w:ascii="Arial" w:eastAsia="Arial" w:hAnsi="Arial" w:cs="Arial"/>
          <w:b/>
          <w:color w:val="4472C4"/>
        </w:rPr>
        <w:lastRenderedPageBreak/>
        <w:t>Annex 2. Tsunami Ready Equivalency Indicator Cross-Reference Guide</w:t>
      </w:r>
    </w:p>
    <w:p w14:paraId="0000007E" w14:textId="77777777" w:rsidR="00ED50B6" w:rsidRDefault="00ED50B6">
      <w:pPr>
        <w:pBdr>
          <w:bottom w:val="single" w:sz="4" w:space="1" w:color="000000"/>
        </w:pBdr>
        <w:rPr>
          <w:rFonts w:ascii="Arial" w:eastAsia="Arial" w:hAnsi="Arial" w:cs="Arial"/>
          <w:b/>
          <w:color w:val="4472C4"/>
        </w:rPr>
      </w:pPr>
    </w:p>
    <w:tbl>
      <w:tblPr>
        <w:tblStyle w:val="a0"/>
        <w:tblW w:w="9074" w:type="dxa"/>
        <w:tblInd w:w="8" w:type="dxa"/>
        <w:tblLayout w:type="fixed"/>
        <w:tblLook w:val="0400" w:firstRow="0" w:lastRow="0" w:firstColumn="0" w:lastColumn="0" w:noHBand="0" w:noVBand="1"/>
      </w:tblPr>
      <w:tblGrid>
        <w:gridCol w:w="1260"/>
        <w:gridCol w:w="6120"/>
        <w:gridCol w:w="524"/>
        <w:gridCol w:w="1170"/>
      </w:tblGrid>
      <w:tr w:rsidR="00ED50B6" w14:paraId="463DA90D" w14:textId="77777777">
        <w:trPr>
          <w:trHeight w:val="571"/>
          <w:tblHeader/>
        </w:trPr>
        <w:tc>
          <w:tcPr>
            <w:tcW w:w="9074" w:type="dxa"/>
            <w:gridSpan w:val="4"/>
            <w:tcBorders>
              <w:top w:val="single" w:sz="7" w:space="0" w:color="000000"/>
              <w:left w:val="single" w:sz="6" w:space="0" w:color="000000"/>
              <w:bottom w:val="single" w:sz="8" w:space="0" w:color="000000"/>
              <w:right w:val="single" w:sz="6" w:space="0" w:color="000000"/>
            </w:tcBorders>
            <w:shd w:val="clear" w:color="auto" w:fill="CCFFFF"/>
            <w:vAlign w:val="center"/>
          </w:tcPr>
          <w:p w14:paraId="0000007F" w14:textId="77777777" w:rsidR="00ED50B6" w:rsidRDefault="00000000">
            <w:pPr>
              <w:tabs>
                <w:tab w:val="center" w:pos="4515"/>
              </w:tabs>
              <w:spacing w:line="259" w:lineRule="auto"/>
              <w:ind w:left="27"/>
              <w:rPr>
                <w:rFonts w:ascii="Arial" w:eastAsia="Arial" w:hAnsi="Arial" w:cs="Arial"/>
                <w:b/>
              </w:rPr>
            </w:pPr>
            <w:r>
              <w:rPr>
                <w:rFonts w:ascii="Arial" w:eastAsia="Arial" w:hAnsi="Arial" w:cs="Arial"/>
              </w:rPr>
              <w:t>Form 2:</w:t>
            </w:r>
            <w:r>
              <w:rPr>
                <w:rFonts w:ascii="Arial" w:eastAsia="Arial" w:hAnsi="Arial" w:cs="Arial"/>
                <w:b/>
              </w:rPr>
              <w:t xml:space="preserve"> </w:t>
            </w:r>
            <w:r>
              <w:rPr>
                <w:rFonts w:ascii="Arial" w:eastAsia="Arial" w:hAnsi="Arial" w:cs="Arial"/>
                <w:b/>
              </w:rPr>
              <w:tab/>
              <w:t>Tsunami Ready Indicator Fulfillment</w:t>
            </w:r>
          </w:p>
          <w:p w14:paraId="00000080" w14:textId="77777777" w:rsidR="00ED50B6" w:rsidRDefault="00000000">
            <w:pPr>
              <w:spacing w:line="259" w:lineRule="auto"/>
              <w:ind w:left="27"/>
              <w:jc w:val="center"/>
              <w:rPr>
                <w:rFonts w:ascii="Arial" w:eastAsia="Arial" w:hAnsi="Arial" w:cs="Arial"/>
              </w:rPr>
            </w:pPr>
            <w:r>
              <w:rPr>
                <w:rFonts w:ascii="Arial" w:eastAsia="Arial" w:hAnsi="Arial" w:cs="Arial"/>
                <w:b/>
              </w:rPr>
              <w:t>Guide for Equivalency</w:t>
            </w:r>
          </w:p>
        </w:tc>
      </w:tr>
      <w:tr w:rsidR="00ED50B6" w14:paraId="468B3336" w14:textId="77777777">
        <w:trPr>
          <w:trHeight w:val="571"/>
        </w:trPr>
        <w:tc>
          <w:tcPr>
            <w:tcW w:w="9074" w:type="dxa"/>
            <w:gridSpan w:val="4"/>
            <w:tcBorders>
              <w:top w:val="single" w:sz="7" w:space="0" w:color="000000"/>
              <w:left w:val="single" w:sz="6" w:space="0" w:color="000000"/>
              <w:bottom w:val="single" w:sz="8" w:space="0" w:color="000000"/>
              <w:right w:val="single" w:sz="6" w:space="0" w:color="000000"/>
            </w:tcBorders>
            <w:shd w:val="clear" w:color="auto" w:fill="DADADB"/>
            <w:vAlign w:val="center"/>
          </w:tcPr>
          <w:p w14:paraId="00000086" w14:textId="77777777" w:rsidR="00ED50B6" w:rsidRDefault="00000000">
            <w:pPr>
              <w:spacing w:line="259" w:lineRule="auto"/>
              <w:ind w:left="27"/>
              <w:jc w:val="center"/>
              <w:rPr>
                <w:rFonts w:ascii="Arial" w:eastAsia="Arial" w:hAnsi="Arial" w:cs="Arial"/>
                <w:b/>
              </w:rPr>
            </w:pPr>
            <w:r>
              <w:rPr>
                <w:rFonts w:ascii="Arial" w:eastAsia="Arial" w:hAnsi="Arial" w:cs="Arial"/>
                <w:b/>
              </w:rPr>
              <w:t>I. ASSESSMENT Indicators (ASSESS)</w:t>
            </w:r>
          </w:p>
        </w:tc>
      </w:tr>
      <w:tr w:rsidR="00ED50B6" w14:paraId="65387023" w14:textId="77777777">
        <w:trPr>
          <w:trHeight w:val="739"/>
        </w:trPr>
        <w:tc>
          <w:tcPr>
            <w:tcW w:w="1260" w:type="dxa"/>
            <w:tcBorders>
              <w:top w:val="single" w:sz="8" w:space="0" w:color="000000"/>
              <w:left w:val="single" w:sz="6" w:space="0" w:color="000000"/>
              <w:bottom w:val="single" w:sz="8" w:space="0" w:color="000000"/>
              <w:right w:val="single" w:sz="4" w:space="0" w:color="000000"/>
            </w:tcBorders>
            <w:shd w:val="clear" w:color="auto" w:fill="D9D9D9"/>
            <w:vAlign w:val="center"/>
          </w:tcPr>
          <w:p w14:paraId="0000008C" w14:textId="77777777" w:rsidR="00ED50B6" w:rsidRDefault="00000000">
            <w:pPr>
              <w:spacing w:before="40" w:after="40" w:line="259" w:lineRule="auto"/>
              <w:jc w:val="center"/>
              <w:rPr>
                <w:rFonts w:ascii="Arial" w:eastAsia="Arial" w:hAnsi="Arial" w:cs="Arial"/>
                <w:b/>
                <w:sz w:val="20"/>
                <w:szCs w:val="20"/>
              </w:rPr>
            </w:pPr>
            <w:r>
              <w:rPr>
                <w:rFonts w:ascii="Arial" w:eastAsia="Arial" w:hAnsi="Arial" w:cs="Arial"/>
                <w:b/>
                <w:sz w:val="20"/>
                <w:szCs w:val="20"/>
              </w:rPr>
              <w:t>ASSESS-1</w:t>
            </w:r>
          </w:p>
        </w:tc>
        <w:tc>
          <w:tcPr>
            <w:tcW w:w="6120" w:type="dxa"/>
            <w:tcBorders>
              <w:top w:val="single" w:sz="8" w:space="0" w:color="000000"/>
              <w:left w:val="single" w:sz="4" w:space="0" w:color="000000"/>
              <w:bottom w:val="single" w:sz="8" w:space="0" w:color="000000"/>
              <w:right w:val="single" w:sz="4" w:space="0" w:color="000000"/>
            </w:tcBorders>
            <w:vAlign w:val="center"/>
          </w:tcPr>
          <w:p w14:paraId="0000008D" w14:textId="77777777" w:rsidR="00ED50B6" w:rsidRDefault="00000000">
            <w:pPr>
              <w:tabs>
                <w:tab w:val="left" w:pos="1276"/>
              </w:tabs>
              <w:spacing w:before="40" w:after="40"/>
              <w:rPr>
                <w:rFonts w:ascii="Arial" w:eastAsia="Arial" w:hAnsi="Arial" w:cs="Arial"/>
                <w:sz w:val="20"/>
                <w:szCs w:val="20"/>
              </w:rPr>
            </w:pPr>
            <w:r>
              <w:rPr>
                <w:rFonts w:ascii="Arial" w:eastAsia="Arial" w:hAnsi="Arial" w:cs="Arial"/>
                <w:sz w:val="20"/>
                <w:szCs w:val="20"/>
              </w:rPr>
              <w:t xml:space="preserve"> Tsunami hazard zones are mapped and designated. </w:t>
            </w:r>
          </w:p>
        </w:tc>
        <w:tc>
          <w:tcPr>
            <w:tcW w:w="1694" w:type="dxa"/>
            <w:gridSpan w:val="2"/>
            <w:tcBorders>
              <w:top w:val="single" w:sz="8" w:space="0" w:color="000000"/>
              <w:left w:val="single" w:sz="4" w:space="0" w:color="000000"/>
              <w:bottom w:val="single" w:sz="8" w:space="0" w:color="000000"/>
              <w:right w:val="single" w:sz="6" w:space="0" w:color="000000"/>
            </w:tcBorders>
            <w:shd w:val="clear" w:color="auto" w:fill="D9D9D9"/>
            <w:vAlign w:val="center"/>
          </w:tcPr>
          <w:p w14:paraId="00000090" w14:textId="77777777" w:rsidR="00ED50B6" w:rsidRDefault="00000000">
            <w:pPr>
              <w:spacing w:before="40" w:after="40" w:line="259" w:lineRule="auto"/>
              <w:ind w:left="7"/>
              <w:jc w:val="center"/>
              <w:rPr>
                <w:rFonts w:ascii="Arial" w:eastAsia="Arial" w:hAnsi="Arial" w:cs="Arial"/>
                <w:sz w:val="20"/>
                <w:szCs w:val="20"/>
              </w:rPr>
            </w:pPr>
            <w:r>
              <w:rPr>
                <w:rFonts w:ascii="Arial" w:eastAsia="Arial" w:hAnsi="Arial" w:cs="Arial"/>
                <w:sz w:val="20"/>
                <w:szCs w:val="20"/>
              </w:rPr>
              <w:t>Verified</w:t>
            </w:r>
            <w:r>
              <w:rPr>
                <w:noProof/>
              </w:rPr>
              <w:drawing>
                <wp:anchor distT="0" distB="0" distL="114300" distR="114300" simplePos="0" relativeHeight="251663360" behindDoc="0" locked="0" layoutInCell="1" hidden="0" allowOverlap="1" wp14:anchorId="17F5D45E" wp14:editId="4CE0D724">
                  <wp:simplePos x="0" y="0"/>
                  <wp:positionH relativeFrom="column">
                    <wp:posOffset>-247649</wp:posOffset>
                  </wp:positionH>
                  <wp:positionV relativeFrom="paragraph">
                    <wp:posOffset>14604</wp:posOffset>
                  </wp:positionV>
                  <wp:extent cx="127635" cy="127635"/>
                  <wp:effectExtent l="0" t="0" r="0" b="0"/>
                  <wp:wrapSquare wrapText="bothSides" distT="0" distB="0" distL="114300" distR="114300"/>
                  <wp:docPr id="23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4132E088" w14:textId="77777777">
        <w:trPr>
          <w:trHeight w:val="514"/>
        </w:trPr>
        <w:tc>
          <w:tcPr>
            <w:tcW w:w="9074" w:type="dxa"/>
            <w:gridSpan w:val="4"/>
            <w:tcBorders>
              <w:top w:val="single" w:sz="8" w:space="0" w:color="000000"/>
              <w:left w:val="single" w:sz="6" w:space="0" w:color="000000"/>
              <w:bottom w:val="single" w:sz="8" w:space="0" w:color="000000"/>
              <w:right w:val="single" w:sz="4" w:space="0" w:color="000000"/>
            </w:tcBorders>
            <w:shd w:val="clear" w:color="auto" w:fill="EDEDED"/>
            <w:vAlign w:val="center"/>
          </w:tcPr>
          <w:p w14:paraId="00000092" w14:textId="77777777" w:rsidR="00ED50B6" w:rsidRDefault="00000000">
            <w:pPr>
              <w:spacing w:before="40" w:after="40" w:line="259" w:lineRule="auto"/>
              <w:ind w:left="5"/>
              <w:rPr>
                <w:rFonts w:ascii="Arial" w:eastAsia="Arial" w:hAnsi="Arial" w:cs="Arial"/>
                <w:sz w:val="18"/>
                <w:szCs w:val="18"/>
              </w:rPr>
            </w:pPr>
            <w:r>
              <w:rPr>
                <w:rFonts w:ascii="Arial" w:eastAsia="Arial" w:hAnsi="Arial" w:cs="Arial"/>
                <w:sz w:val="18"/>
                <w:szCs w:val="18"/>
              </w:rPr>
              <w:t xml:space="preserve">How does the community (quantitatively or qualitatively) understand the area of potential tsunami hazard, with respect to national and / or international standards? </w:t>
            </w:r>
          </w:p>
          <w:p w14:paraId="00000093" w14:textId="77777777" w:rsidR="00ED50B6" w:rsidRDefault="00ED50B6">
            <w:pPr>
              <w:spacing w:before="40" w:after="40" w:line="259" w:lineRule="auto"/>
              <w:ind w:left="5"/>
              <w:rPr>
                <w:rFonts w:ascii="Arial" w:eastAsia="Arial" w:hAnsi="Arial" w:cs="Arial"/>
                <w:sz w:val="18"/>
                <w:szCs w:val="18"/>
              </w:rPr>
            </w:pPr>
          </w:p>
          <w:p w14:paraId="00000094" w14:textId="77777777" w:rsidR="00ED50B6" w:rsidRDefault="00ED50B6">
            <w:pPr>
              <w:spacing w:before="40" w:after="40" w:line="259" w:lineRule="auto"/>
              <w:rPr>
                <w:rFonts w:ascii="Arial" w:eastAsia="Arial" w:hAnsi="Arial" w:cs="Arial"/>
                <w:sz w:val="18"/>
                <w:szCs w:val="18"/>
              </w:rPr>
            </w:pPr>
          </w:p>
          <w:p w14:paraId="00000095" w14:textId="77777777" w:rsidR="00ED50B6" w:rsidRDefault="00ED50B6">
            <w:pPr>
              <w:spacing w:before="40" w:after="40" w:line="259" w:lineRule="auto"/>
              <w:ind w:left="5"/>
              <w:rPr>
                <w:rFonts w:ascii="Arial" w:eastAsia="Arial" w:hAnsi="Arial" w:cs="Arial"/>
                <w:sz w:val="18"/>
                <w:szCs w:val="18"/>
              </w:rPr>
            </w:pPr>
          </w:p>
          <w:p w14:paraId="00000096" w14:textId="77777777" w:rsidR="00ED50B6" w:rsidRDefault="00ED50B6">
            <w:pPr>
              <w:spacing w:before="40" w:after="40" w:line="259" w:lineRule="auto"/>
              <w:ind w:left="5"/>
            </w:pPr>
          </w:p>
        </w:tc>
      </w:tr>
      <w:tr w:rsidR="00ED50B6" w14:paraId="57DC97DF" w14:textId="77777777">
        <w:trPr>
          <w:trHeight w:val="739"/>
        </w:trPr>
        <w:tc>
          <w:tcPr>
            <w:tcW w:w="1260" w:type="dxa"/>
            <w:tcBorders>
              <w:top w:val="single" w:sz="8" w:space="0" w:color="000000"/>
              <w:left w:val="single" w:sz="6" w:space="0" w:color="000000"/>
              <w:bottom w:val="single" w:sz="8" w:space="0" w:color="000000"/>
              <w:right w:val="single" w:sz="4" w:space="0" w:color="000000"/>
            </w:tcBorders>
            <w:shd w:val="clear" w:color="auto" w:fill="D9D9D9"/>
            <w:vAlign w:val="center"/>
          </w:tcPr>
          <w:p w14:paraId="0000009C" w14:textId="77777777" w:rsidR="00ED50B6" w:rsidRDefault="00000000">
            <w:pPr>
              <w:spacing w:before="40" w:after="40" w:line="259" w:lineRule="auto"/>
              <w:ind w:left="5"/>
              <w:jc w:val="center"/>
              <w:rPr>
                <w:rFonts w:ascii="Arial" w:eastAsia="Arial" w:hAnsi="Arial" w:cs="Arial"/>
                <w:b/>
                <w:sz w:val="20"/>
                <w:szCs w:val="20"/>
              </w:rPr>
            </w:pPr>
            <w:r>
              <w:rPr>
                <w:rFonts w:ascii="Arial" w:eastAsia="Arial" w:hAnsi="Arial" w:cs="Arial"/>
                <w:b/>
                <w:sz w:val="20"/>
                <w:szCs w:val="20"/>
              </w:rPr>
              <w:t>ASSESS-2</w:t>
            </w:r>
          </w:p>
        </w:tc>
        <w:tc>
          <w:tcPr>
            <w:tcW w:w="6120" w:type="dxa"/>
            <w:tcBorders>
              <w:top w:val="single" w:sz="8" w:space="0" w:color="000000"/>
              <w:left w:val="single" w:sz="4" w:space="0" w:color="000000"/>
              <w:bottom w:val="single" w:sz="8" w:space="0" w:color="000000"/>
              <w:right w:val="single" w:sz="4" w:space="0" w:color="000000"/>
            </w:tcBorders>
            <w:vAlign w:val="center"/>
          </w:tcPr>
          <w:p w14:paraId="0000009D" w14:textId="77777777" w:rsidR="00ED50B6" w:rsidRDefault="00000000">
            <w:pPr>
              <w:tabs>
                <w:tab w:val="left" w:pos="1276"/>
              </w:tabs>
              <w:spacing w:before="40" w:after="40"/>
              <w:rPr>
                <w:rFonts w:ascii="Arial" w:eastAsia="Arial" w:hAnsi="Arial" w:cs="Arial"/>
                <w:sz w:val="20"/>
                <w:szCs w:val="20"/>
              </w:rPr>
            </w:pPr>
            <w:r>
              <w:rPr>
                <w:rFonts w:ascii="Arial" w:eastAsia="Arial" w:hAnsi="Arial" w:cs="Arial"/>
                <w:sz w:val="20"/>
                <w:szCs w:val="20"/>
              </w:rPr>
              <w:t>The number of people at risk in the tsunami hazard zone is estimated</w:t>
            </w:r>
          </w:p>
        </w:tc>
        <w:tc>
          <w:tcPr>
            <w:tcW w:w="1694" w:type="dxa"/>
            <w:gridSpan w:val="2"/>
            <w:tcBorders>
              <w:top w:val="single" w:sz="8" w:space="0" w:color="000000"/>
              <w:left w:val="single" w:sz="4" w:space="0" w:color="000000"/>
              <w:bottom w:val="single" w:sz="8" w:space="0" w:color="000000"/>
              <w:right w:val="single" w:sz="6" w:space="0" w:color="000000"/>
            </w:tcBorders>
            <w:shd w:val="clear" w:color="auto" w:fill="D9D9D9"/>
            <w:vAlign w:val="center"/>
          </w:tcPr>
          <w:p w14:paraId="000000A0" w14:textId="77777777" w:rsidR="00ED50B6" w:rsidRDefault="00000000">
            <w:pPr>
              <w:spacing w:before="40" w:after="40" w:line="259" w:lineRule="auto"/>
              <w:ind w:left="7"/>
              <w:jc w:val="center"/>
              <w:rPr>
                <w:rFonts w:ascii="Arial" w:eastAsia="Arial" w:hAnsi="Arial" w:cs="Arial"/>
                <w:sz w:val="20"/>
                <w:szCs w:val="20"/>
              </w:rPr>
            </w:pPr>
            <w:r>
              <w:rPr>
                <w:rFonts w:ascii="Arial" w:eastAsia="Arial" w:hAnsi="Arial" w:cs="Arial"/>
                <w:sz w:val="20"/>
                <w:szCs w:val="20"/>
              </w:rPr>
              <w:t>Verified</w:t>
            </w:r>
            <w:r>
              <w:rPr>
                <w:noProof/>
              </w:rPr>
              <w:drawing>
                <wp:anchor distT="0" distB="0" distL="114300" distR="114300" simplePos="0" relativeHeight="251664384" behindDoc="0" locked="0" layoutInCell="1" hidden="0" allowOverlap="1" wp14:anchorId="68AA545F" wp14:editId="6973A79C">
                  <wp:simplePos x="0" y="0"/>
                  <wp:positionH relativeFrom="column">
                    <wp:posOffset>-247649</wp:posOffset>
                  </wp:positionH>
                  <wp:positionV relativeFrom="paragraph">
                    <wp:posOffset>14604</wp:posOffset>
                  </wp:positionV>
                  <wp:extent cx="127635" cy="127635"/>
                  <wp:effectExtent l="0" t="0" r="0" b="0"/>
                  <wp:wrapSquare wrapText="bothSides" distT="0" distB="0" distL="114300" distR="114300"/>
                  <wp:docPr id="2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44BB3761" w14:textId="77777777">
        <w:trPr>
          <w:trHeight w:val="1642"/>
        </w:trPr>
        <w:tc>
          <w:tcPr>
            <w:tcW w:w="9074" w:type="dxa"/>
            <w:gridSpan w:val="4"/>
            <w:tcBorders>
              <w:top w:val="single" w:sz="7" w:space="0" w:color="000000"/>
              <w:left w:val="single" w:sz="6" w:space="0" w:color="000000"/>
              <w:right w:val="single" w:sz="6" w:space="0" w:color="000000"/>
            </w:tcBorders>
            <w:shd w:val="clear" w:color="auto" w:fill="EDEDED"/>
            <w:vAlign w:val="bottom"/>
          </w:tcPr>
          <w:p w14:paraId="000000A2" w14:textId="77777777" w:rsidR="00ED50B6" w:rsidRDefault="00000000">
            <w:pPr>
              <w:spacing w:line="259" w:lineRule="auto"/>
              <w:rPr>
                <w:rFonts w:ascii="Arial" w:eastAsia="Arial" w:hAnsi="Arial" w:cs="Arial"/>
                <w:i/>
                <w:sz w:val="18"/>
                <w:szCs w:val="18"/>
              </w:rPr>
            </w:pPr>
            <w:r>
              <w:rPr>
                <w:rFonts w:ascii="Arial" w:eastAsia="Arial" w:hAnsi="Arial" w:cs="Arial"/>
                <w:sz w:val="18"/>
                <w:szCs w:val="18"/>
              </w:rPr>
              <w:t xml:space="preserve"> How does the community (quantitatively or qualitatively) understand the number of people exposed to tsunami hazards, in order to guide response planning such as evacuation?</w:t>
            </w:r>
          </w:p>
          <w:p w14:paraId="000000A3" w14:textId="77777777" w:rsidR="00ED50B6" w:rsidRDefault="00000000">
            <w:pPr>
              <w:spacing w:line="259" w:lineRule="auto"/>
              <w:ind w:left="7"/>
              <w:rPr>
                <w:rFonts w:ascii="Arial" w:eastAsia="Arial" w:hAnsi="Arial" w:cs="Arial"/>
              </w:rPr>
            </w:pPr>
            <w:r>
              <w:rPr>
                <w:rFonts w:ascii="Arial" w:eastAsia="Arial" w:hAnsi="Arial" w:cs="Arial"/>
              </w:rPr>
              <w:t xml:space="preserve"> </w:t>
            </w:r>
          </w:p>
          <w:p w14:paraId="000000A4" w14:textId="77777777" w:rsidR="00ED50B6" w:rsidRDefault="00000000">
            <w:pPr>
              <w:spacing w:line="259" w:lineRule="auto"/>
              <w:ind w:left="7"/>
              <w:rPr>
                <w:rFonts w:ascii="Arial" w:eastAsia="Arial" w:hAnsi="Arial" w:cs="Arial"/>
              </w:rPr>
            </w:pPr>
            <w:r>
              <w:rPr>
                <w:rFonts w:ascii="Arial" w:eastAsia="Arial" w:hAnsi="Arial" w:cs="Arial"/>
              </w:rPr>
              <w:t xml:space="preserve"> </w:t>
            </w:r>
          </w:p>
          <w:p w14:paraId="000000A5" w14:textId="77777777" w:rsidR="00ED50B6" w:rsidRDefault="00ED50B6">
            <w:pPr>
              <w:spacing w:line="259" w:lineRule="auto"/>
              <w:ind w:left="7"/>
              <w:rPr>
                <w:rFonts w:ascii="Arial" w:eastAsia="Arial" w:hAnsi="Arial" w:cs="Arial"/>
              </w:rPr>
            </w:pPr>
          </w:p>
          <w:p w14:paraId="000000A6" w14:textId="77777777" w:rsidR="00ED50B6" w:rsidRDefault="00ED50B6">
            <w:pPr>
              <w:spacing w:line="259" w:lineRule="auto"/>
              <w:ind w:left="7"/>
              <w:rPr>
                <w:rFonts w:ascii="Arial" w:eastAsia="Arial" w:hAnsi="Arial" w:cs="Arial"/>
              </w:rPr>
            </w:pPr>
          </w:p>
          <w:p w14:paraId="000000A7" w14:textId="77777777" w:rsidR="00ED50B6" w:rsidRDefault="00ED50B6">
            <w:pPr>
              <w:spacing w:line="259" w:lineRule="auto"/>
              <w:rPr>
                <w:rFonts w:ascii="Arial" w:eastAsia="Arial" w:hAnsi="Arial" w:cs="Arial"/>
              </w:rPr>
            </w:pPr>
          </w:p>
        </w:tc>
      </w:tr>
      <w:tr w:rsidR="00ED50B6" w14:paraId="5D485742" w14:textId="77777777">
        <w:trPr>
          <w:trHeight w:val="726"/>
        </w:trPr>
        <w:tc>
          <w:tcPr>
            <w:tcW w:w="1260" w:type="dxa"/>
            <w:tcBorders>
              <w:top w:val="single" w:sz="6" w:space="0" w:color="000000"/>
              <w:left w:val="single" w:sz="6" w:space="0" w:color="000000"/>
              <w:bottom w:val="single" w:sz="6" w:space="0" w:color="000000"/>
              <w:right w:val="single" w:sz="6" w:space="0" w:color="000000"/>
            </w:tcBorders>
            <w:shd w:val="clear" w:color="auto" w:fill="DADADB"/>
            <w:vAlign w:val="center"/>
          </w:tcPr>
          <w:p w14:paraId="000000AD" w14:textId="77777777" w:rsidR="00ED50B6" w:rsidRDefault="00000000">
            <w:pPr>
              <w:spacing w:before="40" w:after="40" w:line="259" w:lineRule="auto"/>
              <w:ind w:left="80"/>
              <w:rPr>
                <w:rFonts w:ascii="Arial" w:eastAsia="Arial" w:hAnsi="Arial" w:cs="Arial"/>
                <w:sz w:val="20"/>
                <w:szCs w:val="20"/>
              </w:rPr>
            </w:pPr>
            <w:bookmarkStart w:id="5" w:name="_heading=h.30j0zll" w:colFirst="0" w:colLast="0"/>
            <w:bookmarkEnd w:id="5"/>
            <w:r>
              <w:rPr>
                <w:rFonts w:ascii="Arial" w:eastAsia="Arial" w:hAnsi="Arial" w:cs="Arial"/>
                <w:b/>
                <w:sz w:val="20"/>
                <w:szCs w:val="20"/>
              </w:rPr>
              <w:t>ASSESS-3</w:t>
            </w:r>
          </w:p>
        </w:tc>
        <w:tc>
          <w:tcPr>
            <w:tcW w:w="6644" w:type="dxa"/>
            <w:gridSpan w:val="2"/>
            <w:tcBorders>
              <w:top w:val="single" w:sz="6" w:space="0" w:color="000000"/>
              <w:left w:val="single" w:sz="6" w:space="0" w:color="000000"/>
              <w:bottom w:val="single" w:sz="6" w:space="0" w:color="000000"/>
              <w:right w:val="single" w:sz="6" w:space="0" w:color="000000"/>
            </w:tcBorders>
            <w:vAlign w:val="center"/>
          </w:tcPr>
          <w:p w14:paraId="000000AE" w14:textId="77777777" w:rsidR="00ED50B6" w:rsidRDefault="00000000">
            <w:pPr>
              <w:spacing w:before="40" w:after="40" w:line="259" w:lineRule="auto"/>
              <w:rPr>
                <w:rFonts w:ascii="Arial" w:eastAsia="Arial" w:hAnsi="Arial" w:cs="Arial"/>
                <w:sz w:val="20"/>
                <w:szCs w:val="20"/>
              </w:rPr>
            </w:pPr>
            <w:r>
              <w:rPr>
                <w:rFonts w:ascii="Arial" w:eastAsia="Arial" w:hAnsi="Arial" w:cs="Arial"/>
                <w:sz w:val="20"/>
                <w:szCs w:val="20"/>
              </w:rPr>
              <w:t>Available economic, infrastructural, political, and social resources are identified</w:t>
            </w:r>
          </w:p>
        </w:tc>
        <w:tc>
          <w:tcPr>
            <w:tcW w:w="1170" w:type="dxa"/>
            <w:tcBorders>
              <w:top w:val="single" w:sz="6" w:space="0" w:color="000000"/>
              <w:left w:val="single" w:sz="6" w:space="0" w:color="000000"/>
              <w:bottom w:val="single" w:sz="6" w:space="0" w:color="000000"/>
              <w:right w:val="single" w:sz="6" w:space="0" w:color="000000"/>
            </w:tcBorders>
            <w:shd w:val="clear" w:color="auto" w:fill="DADADB"/>
            <w:vAlign w:val="center"/>
          </w:tcPr>
          <w:p w14:paraId="000000B2" w14:textId="77777777" w:rsidR="00ED50B6" w:rsidRDefault="00000000">
            <w:pPr>
              <w:spacing w:before="40" w:after="40" w:line="259" w:lineRule="auto"/>
              <w:rPr>
                <w:rFonts w:ascii="Arial" w:eastAsia="Arial" w:hAnsi="Arial" w:cs="Arial"/>
              </w:rPr>
            </w:pPr>
            <w:r>
              <w:rPr>
                <w:rFonts w:ascii="Arial" w:eastAsia="Arial" w:hAnsi="Arial" w:cs="Arial"/>
                <w:sz w:val="20"/>
                <w:szCs w:val="20"/>
              </w:rPr>
              <w:t>Verified</w:t>
            </w:r>
            <w:r>
              <w:rPr>
                <w:noProof/>
              </w:rPr>
              <w:drawing>
                <wp:anchor distT="0" distB="0" distL="114300" distR="114300" simplePos="0" relativeHeight="251665408" behindDoc="0" locked="0" layoutInCell="1" hidden="0" allowOverlap="1" wp14:anchorId="14F2097B" wp14:editId="24626630">
                  <wp:simplePos x="0" y="0"/>
                  <wp:positionH relativeFrom="column">
                    <wp:posOffset>-188594</wp:posOffset>
                  </wp:positionH>
                  <wp:positionV relativeFrom="paragraph">
                    <wp:posOffset>31115</wp:posOffset>
                  </wp:positionV>
                  <wp:extent cx="127635" cy="127635"/>
                  <wp:effectExtent l="0" t="0" r="0" b="0"/>
                  <wp:wrapSquare wrapText="bothSides" distT="0" distB="0" distL="114300" distR="114300"/>
                  <wp:docPr id="23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3B4862B5" w14:textId="77777777">
        <w:trPr>
          <w:trHeight w:val="452"/>
        </w:trPr>
        <w:tc>
          <w:tcPr>
            <w:tcW w:w="9074" w:type="dxa"/>
            <w:gridSpan w:val="4"/>
            <w:tcBorders>
              <w:top w:val="single" w:sz="6" w:space="0" w:color="000000"/>
              <w:left w:val="single" w:sz="6" w:space="0" w:color="000000"/>
              <w:bottom w:val="single" w:sz="4" w:space="0" w:color="000000"/>
              <w:right w:val="single" w:sz="6" w:space="0" w:color="000000"/>
            </w:tcBorders>
            <w:shd w:val="clear" w:color="auto" w:fill="EDEDED"/>
            <w:vAlign w:val="center"/>
          </w:tcPr>
          <w:p w14:paraId="000000B3"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 xml:space="preserve"> How does the community (quantitatively or qualitatively) identify resources that could be used to reduce tsunami risk?</w:t>
            </w:r>
          </w:p>
          <w:p w14:paraId="000000B4" w14:textId="77777777" w:rsidR="00ED50B6" w:rsidRDefault="00ED50B6">
            <w:pPr>
              <w:spacing w:before="40" w:after="40" w:line="259" w:lineRule="auto"/>
              <w:ind w:left="7"/>
              <w:rPr>
                <w:rFonts w:ascii="Arial" w:eastAsia="Arial" w:hAnsi="Arial" w:cs="Arial"/>
                <w:sz w:val="18"/>
                <w:szCs w:val="18"/>
              </w:rPr>
            </w:pPr>
          </w:p>
          <w:p w14:paraId="000000B5" w14:textId="77777777" w:rsidR="00ED50B6" w:rsidRDefault="00ED50B6">
            <w:pPr>
              <w:spacing w:before="40" w:after="40" w:line="259" w:lineRule="auto"/>
              <w:ind w:left="7"/>
              <w:rPr>
                <w:rFonts w:ascii="Arial" w:eastAsia="Arial" w:hAnsi="Arial" w:cs="Arial"/>
                <w:sz w:val="18"/>
                <w:szCs w:val="18"/>
              </w:rPr>
            </w:pPr>
          </w:p>
          <w:p w14:paraId="000000B6" w14:textId="77777777" w:rsidR="00ED50B6" w:rsidRDefault="00ED50B6">
            <w:pPr>
              <w:spacing w:before="40" w:after="40" w:line="259" w:lineRule="auto"/>
              <w:ind w:left="7"/>
              <w:rPr>
                <w:rFonts w:ascii="Arial" w:eastAsia="Arial" w:hAnsi="Arial" w:cs="Arial"/>
                <w:sz w:val="18"/>
                <w:szCs w:val="18"/>
              </w:rPr>
            </w:pPr>
          </w:p>
          <w:p w14:paraId="000000B7" w14:textId="77777777" w:rsidR="00ED50B6" w:rsidRDefault="00ED50B6">
            <w:pPr>
              <w:spacing w:before="40" w:after="40" w:line="259" w:lineRule="auto"/>
              <w:ind w:left="7"/>
            </w:pPr>
          </w:p>
          <w:p w14:paraId="000000B8" w14:textId="77777777" w:rsidR="00ED50B6" w:rsidRDefault="00ED50B6">
            <w:pPr>
              <w:spacing w:before="40" w:after="40" w:line="259" w:lineRule="auto"/>
              <w:ind w:left="7"/>
            </w:pPr>
          </w:p>
        </w:tc>
      </w:tr>
    </w:tbl>
    <w:p w14:paraId="000000BE" w14:textId="77777777" w:rsidR="00ED50B6" w:rsidRDefault="00ED50B6">
      <w:pPr>
        <w:rPr>
          <w:rFonts w:ascii="Arial" w:eastAsia="Arial" w:hAnsi="Arial" w:cs="Arial"/>
        </w:rPr>
      </w:pPr>
    </w:p>
    <w:tbl>
      <w:tblPr>
        <w:tblStyle w:val="a1"/>
        <w:tblW w:w="9074" w:type="dxa"/>
        <w:tblInd w:w="11" w:type="dxa"/>
        <w:tblLayout w:type="fixed"/>
        <w:tblLook w:val="0400" w:firstRow="0" w:lastRow="0" w:firstColumn="0" w:lastColumn="0" w:noHBand="0" w:noVBand="1"/>
      </w:tblPr>
      <w:tblGrid>
        <w:gridCol w:w="1260"/>
        <w:gridCol w:w="6644"/>
        <w:gridCol w:w="1170"/>
      </w:tblGrid>
      <w:tr w:rsidR="00ED50B6" w14:paraId="62FF8A86" w14:textId="77777777">
        <w:trPr>
          <w:trHeight w:val="629"/>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DADADB"/>
            <w:vAlign w:val="center"/>
          </w:tcPr>
          <w:p w14:paraId="000000BF" w14:textId="77777777" w:rsidR="00ED50B6" w:rsidRDefault="00000000">
            <w:pPr>
              <w:ind w:left="15"/>
              <w:jc w:val="center"/>
              <w:rPr>
                <w:rFonts w:ascii="Arial" w:eastAsia="Arial" w:hAnsi="Arial" w:cs="Arial"/>
                <w:sz w:val="20"/>
                <w:szCs w:val="20"/>
              </w:rPr>
            </w:pPr>
            <w:r>
              <w:rPr>
                <w:rFonts w:ascii="Arial" w:eastAsia="Arial" w:hAnsi="Arial" w:cs="Arial"/>
                <w:b/>
              </w:rPr>
              <w:t>II. Preparation Indicators (PREP)</w:t>
            </w:r>
          </w:p>
        </w:tc>
      </w:tr>
      <w:tr w:rsidR="00ED50B6" w14:paraId="27AFF50A" w14:textId="77777777">
        <w:trPr>
          <w:trHeight w:val="452"/>
        </w:trPr>
        <w:tc>
          <w:tcPr>
            <w:tcW w:w="9074" w:type="dxa"/>
            <w:gridSpan w:val="3"/>
            <w:tcBorders>
              <w:top w:val="single" w:sz="6" w:space="0" w:color="000000"/>
              <w:left w:val="single" w:sz="6" w:space="0" w:color="000000"/>
              <w:bottom w:val="single" w:sz="4" w:space="0" w:color="000000"/>
              <w:right w:val="single" w:sz="6" w:space="0" w:color="000000"/>
            </w:tcBorders>
            <w:tcMar>
              <w:right w:w="27" w:type="dxa"/>
            </w:tcMar>
          </w:tcPr>
          <w:p w14:paraId="000000C5" w14:textId="77777777" w:rsidR="00ED50B6" w:rsidRDefault="00ED50B6">
            <w:pPr>
              <w:widowControl w:val="0"/>
              <w:pBdr>
                <w:top w:val="nil"/>
                <w:left w:val="nil"/>
                <w:bottom w:val="nil"/>
                <w:right w:val="nil"/>
                <w:between w:val="nil"/>
              </w:pBdr>
              <w:spacing w:line="276" w:lineRule="auto"/>
              <w:rPr>
                <w:rFonts w:ascii="Arial" w:eastAsia="Arial" w:hAnsi="Arial" w:cs="Arial"/>
                <w:sz w:val="20"/>
                <w:szCs w:val="20"/>
              </w:rPr>
            </w:pPr>
          </w:p>
          <w:tbl>
            <w:tblPr>
              <w:tblStyle w:val="a2"/>
              <w:tblW w:w="9074" w:type="dxa"/>
              <w:tblInd w:w="8" w:type="dxa"/>
              <w:tblLayout w:type="fixed"/>
              <w:tblLook w:val="0400" w:firstRow="0" w:lastRow="0" w:firstColumn="0" w:lastColumn="0" w:noHBand="0" w:noVBand="1"/>
            </w:tblPr>
            <w:tblGrid>
              <w:gridCol w:w="1260"/>
              <w:gridCol w:w="6644"/>
              <w:gridCol w:w="1170"/>
            </w:tblGrid>
            <w:tr w:rsidR="00ED50B6" w14:paraId="00722F8B" w14:textId="77777777">
              <w:trPr>
                <w:trHeight w:val="427"/>
              </w:trPr>
              <w:tc>
                <w:tcPr>
                  <w:tcW w:w="1260" w:type="dxa"/>
                  <w:tcBorders>
                    <w:top w:val="single" w:sz="4" w:space="0" w:color="000000"/>
                    <w:left w:val="single" w:sz="4" w:space="0" w:color="000000"/>
                    <w:right w:val="single" w:sz="4" w:space="0" w:color="000000"/>
                  </w:tcBorders>
                  <w:shd w:val="clear" w:color="auto" w:fill="DADADB"/>
                  <w:vAlign w:val="center"/>
                </w:tcPr>
                <w:p w14:paraId="000000C6" w14:textId="77777777" w:rsidR="00ED50B6" w:rsidRDefault="00000000">
                  <w:pPr>
                    <w:spacing w:before="40" w:after="40" w:line="259" w:lineRule="auto"/>
                    <w:rPr>
                      <w:rFonts w:ascii="Arial" w:eastAsia="Arial" w:hAnsi="Arial" w:cs="Arial"/>
                    </w:rPr>
                  </w:pPr>
                  <w:r>
                    <w:rPr>
                      <w:rFonts w:ascii="Arial" w:eastAsia="Arial" w:hAnsi="Arial" w:cs="Arial"/>
                      <w:b/>
                      <w:sz w:val="20"/>
                      <w:szCs w:val="20"/>
                    </w:rPr>
                    <w:t xml:space="preserve"> PREP-1</w:t>
                  </w:r>
                </w:p>
              </w:tc>
              <w:tc>
                <w:tcPr>
                  <w:tcW w:w="6644" w:type="dxa"/>
                  <w:tcBorders>
                    <w:top w:val="single" w:sz="4" w:space="0" w:color="000000"/>
                    <w:left w:val="single" w:sz="4" w:space="0" w:color="000000"/>
                    <w:bottom w:val="single" w:sz="4" w:space="0" w:color="000000"/>
                    <w:right w:val="single" w:sz="4" w:space="0" w:color="000000"/>
                  </w:tcBorders>
                  <w:vAlign w:val="center"/>
                </w:tcPr>
                <w:p w14:paraId="000000C7" w14:textId="77777777" w:rsidR="00ED50B6" w:rsidRDefault="00000000">
                  <w:pPr>
                    <w:spacing w:before="40" w:after="40" w:line="259" w:lineRule="auto"/>
                    <w:ind w:left="83" w:firstLine="16"/>
                    <w:rPr>
                      <w:rFonts w:ascii="Arial" w:eastAsia="Arial" w:hAnsi="Arial" w:cs="Arial"/>
                    </w:rPr>
                  </w:pPr>
                  <w:r>
                    <w:rPr>
                      <w:rFonts w:ascii="Arial" w:eastAsia="Arial" w:hAnsi="Arial" w:cs="Arial"/>
                      <w:sz w:val="20"/>
                      <w:szCs w:val="20"/>
                    </w:rPr>
                    <w:t xml:space="preserve">Easily understood tsunami evacuation maps are approved.  </w:t>
                  </w:r>
                </w:p>
              </w:tc>
              <w:tc>
                <w:tcPr>
                  <w:tcW w:w="117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0CA" w14:textId="77777777" w:rsidR="00ED50B6" w:rsidRDefault="00000000">
                  <w:pPr>
                    <w:spacing w:before="40" w:after="40"/>
                    <w:ind w:left="15"/>
                    <w:rPr>
                      <w:rFonts w:ascii="Arial" w:eastAsia="Arial" w:hAnsi="Arial" w:cs="Arial"/>
                      <w:sz w:val="20"/>
                      <w:szCs w:val="20"/>
                    </w:rPr>
                  </w:pPr>
                  <w:r>
                    <w:rPr>
                      <w:rFonts w:ascii="Arial" w:eastAsia="Arial" w:hAnsi="Arial" w:cs="Arial"/>
                      <w:sz w:val="20"/>
                      <w:szCs w:val="20"/>
                    </w:rPr>
                    <w:t>Verified</w:t>
                  </w:r>
                  <w:r>
                    <w:rPr>
                      <w:noProof/>
                    </w:rPr>
                    <w:drawing>
                      <wp:anchor distT="0" distB="0" distL="114300" distR="114300" simplePos="0" relativeHeight="251666432" behindDoc="0" locked="0" layoutInCell="1" hidden="0" allowOverlap="1" wp14:anchorId="6DF7033F" wp14:editId="3844707D">
                        <wp:simplePos x="0" y="0"/>
                        <wp:positionH relativeFrom="column">
                          <wp:posOffset>-244474</wp:posOffset>
                        </wp:positionH>
                        <wp:positionV relativeFrom="paragraph">
                          <wp:posOffset>-4444</wp:posOffset>
                        </wp:positionV>
                        <wp:extent cx="127635" cy="127635"/>
                        <wp:effectExtent l="0" t="0" r="0" b="0"/>
                        <wp:wrapSquare wrapText="bothSides" distT="0" distB="0" distL="114300" distR="114300"/>
                        <wp:docPr id="23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37969A73" w14:textId="77777777">
              <w:trPr>
                <w:trHeight w:val="488"/>
              </w:trPr>
              <w:tc>
                <w:tcPr>
                  <w:tcW w:w="9074" w:type="dxa"/>
                  <w:gridSpan w:val="3"/>
                  <w:tcBorders>
                    <w:left w:val="single" w:sz="4" w:space="0" w:color="000000"/>
                    <w:bottom w:val="single" w:sz="4" w:space="0" w:color="000000"/>
                    <w:right w:val="single" w:sz="4" w:space="0" w:color="000000"/>
                  </w:tcBorders>
                  <w:shd w:val="clear" w:color="auto" w:fill="EDEDED"/>
                  <w:vAlign w:val="center"/>
                </w:tcPr>
                <w:p w14:paraId="000000CB"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 xml:space="preserve"> How does the community (quantitatively or qualitatively) prepare for evacuation?  </w:t>
                  </w:r>
                </w:p>
                <w:p w14:paraId="000000CC" w14:textId="77777777" w:rsidR="00ED50B6" w:rsidRDefault="00ED50B6">
                  <w:pPr>
                    <w:spacing w:before="40" w:after="40"/>
                    <w:ind w:right="90"/>
                    <w:rPr>
                      <w:rFonts w:ascii="Arial" w:eastAsia="Arial" w:hAnsi="Arial" w:cs="Arial"/>
                      <w:sz w:val="20"/>
                      <w:szCs w:val="20"/>
                    </w:rPr>
                  </w:pPr>
                </w:p>
                <w:p w14:paraId="000000CD" w14:textId="77777777" w:rsidR="00ED50B6" w:rsidRDefault="00ED50B6">
                  <w:pPr>
                    <w:spacing w:before="40" w:after="40"/>
                    <w:ind w:right="90"/>
                    <w:rPr>
                      <w:rFonts w:ascii="Arial" w:eastAsia="Arial" w:hAnsi="Arial" w:cs="Arial"/>
                      <w:sz w:val="20"/>
                      <w:szCs w:val="20"/>
                    </w:rPr>
                  </w:pPr>
                </w:p>
                <w:p w14:paraId="000000CE" w14:textId="77777777" w:rsidR="00ED50B6" w:rsidRDefault="00ED50B6">
                  <w:pPr>
                    <w:spacing w:before="40" w:after="40"/>
                    <w:ind w:right="90"/>
                    <w:rPr>
                      <w:rFonts w:ascii="Arial" w:eastAsia="Arial" w:hAnsi="Arial" w:cs="Arial"/>
                      <w:sz w:val="20"/>
                      <w:szCs w:val="20"/>
                    </w:rPr>
                  </w:pPr>
                </w:p>
                <w:p w14:paraId="000000CF" w14:textId="77777777" w:rsidR="00ED50B6" w:rsidRDefault="00ED50B6">
                  <w:pPr>
                    <w:spacing w:before="40" w:after="40"/>
                    <w:ind w:right="90"/>
                    <w:rPr>
                      <w:rFonts w:ascii="Arial" w:eastAsia="Arial" w:hAnsi="Arial" w:cs="Arial"/>
                      <w:sz w:val="20"/>
                      <w:szCs w:val="20"/>
                    </w:rPr>
                  </w:pPr>
                </w:p>
                <w:p w14:paraId="000000D0" w14:textId="77777777" w:rsidR="00ED50B6" w:rsidRDefault="00ED50B6">
                  <w:pPr>
                    <w:spacing w:before="40" w:after="40"/>
                    <w:ind w:right="90"/>
                    <w:rPr>
                      <w:rFonts w:ascii="Arial" w:eastAsia="Arial" w:hAnsi="Arial" w:cs="Arial"/>
                      <w:sz w:val="20"/>
                      <w:szCs w:val="20"/>
                    </w:rPr>
                  </w:pPr>
                </w:p>
              </w:tc>
            </w:tr>
          </w:tbl>
          <w:p w14:paraId="000000D5" w14:textId="77777777" w:rsidR="00ED50B6" w:rsidRDefault="00ED50B6">
            <w:pPr>
              <w:spacing w:before="40" w:after="40" w:line="259" w:lineRule="auto"/>
              <w:ind w:left="7"/>
              <w:rPr>
                <w:rFonts w:ascii="Arial" w:eastAsia="Arial" w:hAnsi="Arial" w:cs="Arial"/>
                <w:sz w:val="20"/>
                <w:szCs w:val="20"/>
              </w:rPr>
            </w:pPr>
          </w:p>
        </w:tc>
      </w:tr>
      <w:tr w:rsidR="00ED50B6" w14:paraId="2458359C" w14:textId="77777777">
        <w:trPr>
          <w:trHeight w:val="395"/>
        </w:trPr>
        <w:tc>
          <w:tcPr>
            <w:tcW w:w="1260" w:type="dxa"/>
            <w:tcBorders>
              <w:top w:val="single" w:sz="6" w:space="0" w:color="000000"/>
              <w:left w:val="single" w:sz="6" w:space="0" w:color="000000"/>
              <w:bottom w:val="single" w:sz="6" w:space="0" w:color="000000"/>
              <w:right w:val="single" w:sz="6" w:space="0" w:color="000000"/>
            </w:tcBorders>
            <w:shd w:val="clear" w:color="auto" w:fill="DADADB"/>
            <w:tcMar>
              <w:right w:w="27" w:type="dxa"/>
            </w:tcMar>
            <w:vAlign w:val="center"/>
          </w:tcPr>
          <w:p w14:paraId="000000DB" w14:textId="77777777" w:rsidR="00ED50B6" w:rsidRDefault="00000000">
            <w:pPr>
              <w:spacing w:before="40" w:after="40" w:line="259" w:lineRule="auto"/>
              <w:ind w:left="80"/>
              <w:rPr>
                <w:rFonts w:ascii="Arial" w:eastAsia="Arial" w:hAnsi="Arial" w:cs="Arial"/>
                <w:sz w:val="20"/>
                <w:szCs w:val="20"/>
              </w:rPr>
            </w:pPr>
            <w:r>
              <w:rPr>
                <w:rFonts w:ascii="Arial" w:eastAsia="Arial" w:hAnsi="Arial" w:cs="Arial"/>
                <w:b/>
                <w:sz w:val="20"/>
                <w:szCs w:val="20"/>
              </w:rPr>
              <w:t>PREP-2</w:t>
            </w:r>
          </w:p>
        </w:tc>
        <w:tc>
          <w:tcPr>
            <w:tcW w:w="6644" w:type="dxa"/>
            <w:tcBorders>
              <w:top w:val="single" w:sz="6" w:space="0" w:color="000000"/>
              <w:left w:val="single" w:sz="6" w:space="0" w:color="000000"/>
              <w:bottom w:val="single" w:sz="6" w:space="0" w:color="000000"/>
              <w:right w:val="single" w:sz="6" w:space="0" w:color="000000"/>
            </w:tcBorders>
            <w:tcMar>
              <w:right w:w="27" w:type="dxa"/>
            </w:tcMar>
            <w:vAlign w:val="center"/>
          </w:tcPr>
          <w:p w14:paraId="000000DC" w14:textId="77777777" w:rsidR="00ED50B6" w:rsidRDefault="00000000">
            <w:pPr>
              <w:spacing w:before="40" w:after="40" w:line="259" w:lineRule="auto"/>
              <w:rPr>
                <w:rFonts w:ascii="Arial" w:eastAsia="Arial" w:hAnsi="Arial" w:cs="Arial"/>
                <w:sz w:val="20"/>
                <w:szCs w:val="20"/>
              </w:rPr>
            </w:pPr>
            <w:r>
              <w:rPr>
                <w:rFonts w:ascii="Arial" w:eastAsia="Arial" w:hAnsi="Arial" w:cs="Arial"/>
                <w:sz w:val="20"/>
                <w:szCs w:val="20"/>
              </w:rPr>
              <w:t>Tsunami information is publicly available or displayed</w:t>
            </w:r>
          </w:p>
        </w:tc>
        <w:tc>
          <w:tcPr>
            <w:tcW w:w="1170" w:type="dxa"/>
            <w:tcBorders>
              <w:top w:val="single" w:sz="6" w:space="0" w:color="000000"/>
              <w:left w:val="single" w:sz="6" w:space="0" w:color="000000"/>
              <w:bottom w:val="single" w:sz="6" w:space="0" w:color="000000"/>
              <w:right w:val="single" w:sz="6" w:space="0" w:color="000000"/>
            </w:tcBorders>
            <w:shd w:val="clear" w:color="auto" w:fill="DADADB"/>
            <w:tcMar>
              <w:right w:w="27" w:type="dxa"/>
            </w:tcMar>
            <w:vAlign w:val="bottom"/>
          </w:tcPr>
          <w:p w14:paraId="000000E0" w14:textId="77777777" w:rsidR="00ED50B6" w:rsidRDefault="00000000">
            <w:pPr>
              <w:spacing w:before="40" w:after="40" w:line="259" w:lineRule="auto"/>
              <w:rPr>
                <w:rFonts w:ascii="Arial" w:eastAsia="Arial" w:hAnsi="Arial" w:cs="Arial"/>
              </w:rPr>
            </w:pPr>
            <w:r>
              <w:rPr>
                <w:rFonts w:ascii="Arial" w:eastAsia="Arial" w:hAnsi="Arial" w:cs="Arial"/>
                <w:sz w:val="20"/>
                <w:szCs w:val="20"/>
              </w:rPr>
              <w:t>Verified</w:t>
            </w:r>
            <w:r>
              <w:rPr>
                <w:noProof/>
              </w:rPr>
              <w:drawing>
                <wp:anchor distT="0" distB="0" distL="114300" distR="114300" simplePos="0" relativeHeight="251667456" behindDoc="0" locked="0" layoutInCell="1" hidden="0" allowOverlap="1" wp14:anchorId="349C34C4" wp14:editId="67A1165F">
                  <wp:simplePos x="0" y="0"/>
                  <wp:positionH relativeFrom="column">
                    <wp:posOffset>1</wp:posOffset>
                  </wp:positionH>
                  <wp:positionV relativeFrom="paragraph">
                    <wp:posOffset>-156209</wp:posOffset>
                  </wp:positionV>
                  <wp:extent cx="127635" cy="127635"/>
                  <wp:effectExtent l="0" t="0" r="0" b="0"/>
                  <wp:wrapSquare wrapText="bothSides" distT="0" distB="0" distL="114300" distR="114300"/>
                  <wp:docPr id="23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670D6541" w14:textId="77777777">
        <w:trPr>
          <w:trHeight w:val="1493"/>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EDEDED"/>
            <w:tcMar>
              <w:right w:w="27" w:type="dxa"/>
            </w:tcMar>
          </w:tcPr>
          <w:p w14:paraId="000000E1" w14:textId="77777777" w:rsidR="00ED50B6" w:rsidRDefault="00000000">
            <w:pPr>
              <w:spacing w:line="259" w:lineRule="auto"/>
              <w:rPr>
                <w:rFonts w:ascii="Arial" w:eastAsia="Arial" w:hAnsi="Arial" w:cs="Arial"/>
                <w:sz w:val="16"/>
                <w:szCs w:val="16"/>
              </w:rPr>
            </w:pPr>
            <w:r>
              <w:rPr>
                <w:rFonts w:ascii="Arial" w:eastAsia="Arial" w:hAnsi="Arial" w:cs="Arial"/>
                <w:sz w:val="18"/>
                <w:szCs w:val="18"/>
              </w:rPr>
              <w:lastRenderedPageBreak/>
              <w:t>How does the community (quantitatively or qualitatively) access evacuation information?</w:t>
            </w:r>
          </w:p>
          <w:p w14:paraId="000000E2" w14:textId="77777777" w:rsidR="00ED50B6" w:rsidRDefault="00ED50B6">
            <w:pPr>
              <w:spacing w:line="259" w:lineRule="auto"/>
              <w:ind w:left="106"/>
              <w:rPr>
                <w:rFonts w:ascii="Arial" w:eastAsia="Arial" w:hAnsi="Arial" w:cs="Arial"/>
                <w:sz w:val="16"/>
                <w:szCs w:val="16"/>
              </w:rPr>
            </w:pPr>
          </w:p>
          <w:p w14:paraId="000000E3" w14:textId="77777777" w:rsidR="00ED50B6" w:rsidRDefault="00ED50B6">
            <w:pPr>
              <w:spacing w:line="259" w:lineRule="auto"/>
              <w:ind w:left="106"/>
              <w:rPr>
                <w:rFonts w:ascii="Arial" w:eastAsia="Arial" w:hAnsi="Arial" w:cs="Arial"/>
                <w:sz w:val="16"/>
                <w:szCs w:val="16"/>
              </w:rPr>
            </w:pPr>
          </w:p>
          <w:p w14:paraId="000000E4" w14:textId="77777777" w:rsidR="00ED50B6" w:rsidRDefault="00ED50B6">
            <w:pPr>
              <w:spacing w:line="259" w:lineRule="auto"/>
              <w:ind w:left="106"/>
              <w:rPr>
                <w:rFonts w:ascii="Arial" w:eastAsia="Arial" w:hAnsi="Arial" w:cs="Arial"/>
                <w:sz w:val="16"/>
                <w:szCs w:val="16"/>
              </w:rPr>
            </w:pPr>
          </w:p>
          <w:p w14:paraId="000000E5" w14:textId="77777777" w:rsidR="00ED50B6" w:rsidRDefault="00ED50B6">
            <w:pPr>
              <w:spacing w:line="259" w:lineRule="auto"/>
              <w:rPr>
                <w:rFonts w:ascii="Arial" w:eastAsia="Arial" w:hAnsi="Arial" w:cs="Arial"/>
              </w:rPr>
            </w:pPr>
          </w:p>
        </w:tc>
      </w:tr>
      <w:tr w:rsidR="00ED50B6" w14:paraId="07F268AD" w14:textId="77777777">
        <w:trPr>
          <w:trHeight w:val="641"/>
        </w:trPr>
        <w:tc>
          <w:tcPr>
            <w:tcW w:w="126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0EB" w14:textId="77777777" w:rsidR="00ED50B6" w:rsidRDefault="00000000">
            <w:pPr>
              <w:spacing w:before="40" w:after="40" w:line="259" w:lineRule="auto"/>
              <w:rPr>
                <w:rFonts w:ascii="Arial" w:eastAsia="Arial" w:hAnsi="Arial" w:cs="Arial"/>
              </w:rPr>
            </w:pPr>
            <w:r>
              <w:rPr>
                <w:rFonts w:ascii="Arial" w:eastAsia="Arial" w:hAnsi="Arial" w:cs="Arial"/>
                <w:b/>
                <w:sz w:val="20"/>
                <w:szCs w:val="20"/>
              </w:rPr>
              <w:t xml:space="preserve"> PREP-3</w:t>
            </w:r>
          </w:p>
        </w:tc>
        <w:tc>
          <w:tcPr>
            <w:tcW w:w="6644" w:type="dxa"/>
            <w:tcBorders>
              <w:top w:val="single" w:sz="4" w:space="0" w:color="000000"/>
              <w:left w:val="single" w:sz="4" w:space="0" w:color="000000"/>
              <w:bottom w:val="single" w:sz="4" w:space="0" w:color="000000"/>
              <w:right w:val="single" w:sz="4" w:space="0" w:color="000000"/>
            </w:tcBorders>
            <w:vAlign w:val="center"/>
          </w:tcPr>
          <w:p w14:paraId="000000EC" w14:textId="77777777" w:rsidR="00ED50B6" w:rsidRDefault="00000000">
            <w:pPr>
              <w:spacing w:before="40" w:after="40" w:line="259" w:lineRule="auto"/>
              <w:ind w:left="108"/>
              <w:rPr>
                <w:rFonts w:ascii="Arial" w:eastAsia="Arial" w:hAnsi="Arial" w:cs="Arial"/>
              </w:rPr>
            </w:pPr>
            <w:r>
              <w:rPr>
                <w:rFonts w:ascii="Arial" w:eastAsia="Arial" w:hAnsi="Arial" w:cs="Arial"/>
                <w:sz w:val="20"/>
                <w:szCs w:val="20"/>
              </w:rPr>
              <w:t>Outreach and public awareness and education resources are available and distributed.</w:t>
            </w:r>
          </w:p>
        </w:tc>
        <w:tc>
          <w:tcPr>
            <w:tcW w:w="117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0F0" w14:textId="77777777" w:rsidR="00ED50B6" w:rsidRDefault="00000000">
            <w:pPr>
              <w:spacing w:before="40" w:after="40"/>
              <w:ind w:left="15"/>
              <w:rPr>
                <w:rFonts w:ascii="Arial" w:eastAsia="Arial" w:hAnsi="Arial" w:cs="Arial"/>
              </w:rPr>
            </w:pPr>
            <w:r>
              <w:rPr>
                <w:rFonts w:ascii="Arial" w:eastAsia="Arial" w:hAnsi="Arial" w:cs="Arial"/>
                <w:sz w:val="20"/>
                <w:szCs w:val="20"/>
              </w:rPr>
              <w:t>Verified</w:t>
            </w:r>
            <w:r>
              <w:rPr>
                <w:noProof/>
              </w:rPr>
              <w:drawing>
                <wp:anchor distT="0" distB="0" distL="114300" distR="114300" simplePos="0" relativeHeight="251668480" behindDoc="0" locked="0" layoutInCell="1" hidden="0" allowOverlap="1" wp14:anchorId="29E42C2E" wp14:editId="317FA93E">
                  <wp:simplePos x="0" y="0"/>
                  <wp:positionH relativeFrom="column">
                    <wp:posOffset>-244474</wp:posOffset>
                  </wp:positionH>
                  <wp:positionV relativeFrom="paragraph">
                    <wp:posOffset>24765</wp:posOffset>
                  </wp:positionV>
                  <wp:extent cx="127635" cy="127635"/>
                  <wp:effectExtent l="0" t="0" r="0" b="0"/>
                  <wp:wrapSquare wrapText="bothSides" distT="0" distB="0" distL="114300" distR="114300"/>
                  <wp:docPr id="2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79A66433" w14:textId="77777777">
        <w:trPr>
          <w:trHeight w:val="1461"/>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000000F1"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How does the community (quantitatively or qualitatively) share evacuation information?</w:t>
            </w:r>
          </w:p>
          <w:p w14:paraId="000000F2" w14:textId="77777777" w:rsidR="00ED50B6" w:rsidRDefault="00ED50B6">
            <w:pPr>
              <w:spacing w:before="40" w:after="40" w:line="259" w:lineRule="auto"/>
              <w:rPr>
                <w:rFonts w:ascii="Arial" w:eastAsia="Arial" w:hAnsi="Arial" w:cs="Arial"/>
                <w:sz w:val="20"/>
                <w:szCs w:val="20"/>
              </w:rPr>
            </w:pPr>
          </w:p>
          <w:p w14:paraId="000000F3" w14:textId="77777777" w:rsidR="00ED50B6" w:rsidRDefault="00ED50B6">
            <w:pPr>
              <w:spacing w:before="40" w:after="40" w:line="259" w:lineRule="auto"/>
              <w:rPr>
                <w:rFonts w:ascii="Arial" w:eastAsia="Arial" w:hAnsi="Arial" w:cs="Arial"/>
                <w:sz w:val="20"/>
                <w:szCs w:val="20"/>
              </w:rPr>
            </w:pPr>
          </w:p>
          <w:p w14:paraId="000000F4" w14:textId="77777777" w:rsidR="00ED50B6" w:rsidRDefault="00ED50B6">
            <w:pPr>
              <w:spacing w:before="40" w:after="40" w:line="259" w:lineRule="auto"/>
              <w:rPr>
                <w:rFonts w:ascii="Arial" w:eastAsia="Arial" w:hAnsi="Arial" w:cs="Arial"/>
                <w:sz w:val="20"/>
                <w:szCs w:val="20"/>
              </w:rPr>
            </w:pPr>
          </w:p>
          <w:p w14:paraId="000000F5" w14:textId="77777777" w:rsidR="00ED50B6" w:rsidRDefault="00ED50B6">
            <w:pPr>
              <w:spacing w:before="40" w:after="40" w:line="259" w:lineRule="auto"/>
              <w:rPr>
                <w:rFonts w:ascii="Arial" w:eastAsia="Arial" w:hAnsi="Arial" w:cs="Arial"/>
                <w:sz w:val="20"/>
                <w:szCs w:val="20"/>
              </w:rPr>
            </w:pPr>
          </w:p>
        </w:tc>
      </w:tr>
      <w:tr w:rsidR="00ED50B6" w14:paraId="7F5EF0EF" w14:textId="77777777">
        <w:trPr>
          <w:trHeight w:val="650"/>
        </w:trPr>
        <w:tc>
          <w:tcPr>
            <w:tcW w:w="126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0FB" w14:textId="77777777" w:rsidR="00ED50B6" w:rsidRDefault="00000000">
            <w:pPr>
              <w:spacing w:before="40" w:after="40" w:line="259" w:lineRule="auto"/>
              <w:ind w:left="107"/>
              <w:rPr>
                <w:rFonts w:ascii="Arial" w:eastAsia="Arial" w:hAnsi="Arial" w:cs="Arial"/>
                <w:sz w:val="20"/>
                <w:szCs w:val="20"/>
              </w:rPr>
            </w:pPr>
            <w:r>
              <w:rPr>
                <w:rFonts w:ascii="Arial" w:eastAsia="Arial" w:hAnsi="Arial" w:cs="Arial"/>
                <w:b/>
                <w:sz w:val="20"/>
                <w:szCs w:val="20"/>
              </w:rPr>
              <w:t>PREP-4</w:t>
            </w:r>
          </w:p>
        </w:tc>
        <w:tc>
          <w:tcPr>
            <w:tcW w:w="6644" w:type="dxa"/>
            <w:tcBorders>
              <w:top w:val="single" w:sz="4" w:space="0" w:color="000000"/>
              <w:left w:val="single" w:sz="4" w:space="0" w:color="000000"/>
              <w:bottom w:val="single" w:sz="4" w:space="0" w:color="000000"/>
              <w:right w:val="single" w:sz="4" w:space="0" w:color="000000"/>
            </w:tcBorders>
            <w:vAlign w:val="center"/>
          </w:tcPr>
          <w:p w14:paraId="000000FC" w14:textId="77777777" w:rsidR="00ED50B6" w:rsidRDefault="00000000">
            <w:pPr>
              <w:spacing w:before="40" w:after="40" w:line="259" w:lineRule="auto"/>
              <w:ind w:left="108"/>
              <w:rPr>
                <w:rFonts w:ascii="Arial" w:eastAsia="Arial" w:hAnsi="Arial" w:cs="Arial"/>
                <w:sz w:val="20"/>
                <w:szCs w:val="20"/>
              </w:rPr>
            </w:pPr>
            <w:r>
              <w:rPr>
                <w:rFonts w:ascii="Arial" w:eastAsia="Arial" w:hAnsi="Arial" w:cs="Arial"/>
                <w:sz w:val="20"/>
                <w:szCs w:val="20"/>
              </w:rPr>
              <w:t>Outreach or educational activities are held regularly</w:t>
            </w:r>
          </w:p>
        </w:tc>
        <w:tc>
          <w:tcPr>
            <w:tcW w:w="117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100" w14:textId="77777777" w:rsidR="00ED50B6" w:rsidRDefault="00000000">
            <w:pPr>
              <w:spacing w:before="40" w:after="40"/>
              <w:rPr>
                <w:rFonts w:ascii="Arial" w:eastAsia="Arial" w:hAnsi="Arial" w:cs="Arial"/>
                <w:sz w:val="20"/>
                <w:szCs w:val="20"/>
              </w:rPr>
            </w:pPr>
            <w:r>
              <w:rPr>
                <w:rFonts w:ascii="Arial" w:eastAsia="Arial" w:hAnsi="Arial" w:cs="Arial"/>
                <w:sz w:val="20"/>
                <w:szCs w:val="20"/>
              </w:rPr>
              <w:t>Verified</w:t>
            </w:r>
            <w:r>
              <w:rPr>
                <w:noProof/>
              </w:rPr>
              <w:drawing>
                <wp:anchor distT="0" distB="0" distL="114300" distR="114300" simplePos="0" relativeHeight="251669504" behindDoc="0" locked="0" layoutInCell="1" hidden="0" allowOverlap="1" wp14:anchorId="098C82C6" wp14:editId="6E8191D6">
                  <wp:simplePos x="0" y="0"/>
                  <wp:positionH relativeFrom="column">
                    <wp:posOffset>3176</wp:posOffset>
                  </wp:positionH>
                  <wp:positionV relativeFrom="paragraph">
                    <wp:posOffset>-46354</wp:posOffset>
                  </wp:positionV>
                  <wp:extent cx="127635" cy="127635"/>
                  <wp:effectExtent l="0" t="0" r="0" b="0"/>
                  <wp:wrapSquare wrapText="bothSides" distT="0" distB="0" distL="114300" distR="114300"/>
                  <wp:docPr id="2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784DFD21" w14:textId="77777777">
        <w:trPr>
          <w:trHeight w:val="446"/>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00000101"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How does the community (quantitatively or qualitatively) promote evacuation information?</w:t>
            </w:r>
          </w:p>
          <w:p w14:paraId="00000102" w14:textId="77777777" w:rsidR="00ED50B6" w:rsidRDefault="00ED50B6">
            <w:pPr>
              <w:tabs>
                <w:tab w:val="left" w:pos="4144"/>
              </w:tabs>
              <w:spacing w:before="40" w:after="40" w:line="259" w:lineRule="auto"/>
              <w:rPr>
                <w:rFonts w:ascii="Arial" w:eastAsia="Arial" w:hAnsi="Arial" w:cs="Arial"/>
                <w:sz w:val="20"/>
                <w:szCs w:val="20"/>
              </w:rPr>
            </w:pPr>
          </w:p>
          <w:p w14:paraId="00000103" w14:textId="77777777" w:rsidR="00ED50B6" w:rsidRDefault="00ED50B6">
            <w:pPr>
              <w:tabs>
                <w:tab w:val="left" w:pos="4144"/>
              </w:tabs>
              <w:spacing w:before="40" w:after="40" w:line="259" w:lineRule="auto"/>
              <w:rPr>
                <w:rFonts w:ascii="Arial" w:eastAsia="Arial" w:hAnsi="Arial" w:cs="Arial"/>
                <w:sz w:val="20"/>
                <w:szCs w:val="20"/>
              </w:rPr>
            </w:pPr>
          </w:p>
          <w:p w14:paraId="00000104" w14:textId="77777777" w:rsidR="00ED50B6" w:rsidRDefault="00ED50B6">
            <w:pPr>
              <w:tabs>
                <w:tab w:val="left" w:pos="4144"/>
              </w:tabs>
              <w:spacing w:before="40" w:after="40" w:line="259" w:lineRule="auto"/>
              <w:rPr>
                <w:rFonts w:ascii="Arial" w:eastAsia="Arial" w:hAnsi="Arial" w:cs="Arial"/>
                <w:sz w:val="20"/>
                <w:szCs w:val="20"/>
              </w:rPr>
            </w:pPr>
          </w:p>
          <w:p w14:paraId="00000105" w14:textId="77777777" w:rsidR="00ED50B6" w:rsidRDefault="00ED50B6">
            <w:pPr>
              <w:tabs>
                <w:tab w:val="left" w:pos="4144"/>
              </w:tabs>
              <w:spacing w:before="40" w:after="40" w:line="259" w:lineRule="auto"/>
              <w:rPr>
                <w:rFonts w:ascii="Arial" w:eastAsia="Arial" w:hAnsi="Arial" w:cs="Arial"/>
                <w:sz w:val="20"/>
                <w:szCs w:val="20"/>
              </w:rPr>
            </w:pPr>
          </w:p>
          <w:p w14:paraId="00000106" w14:textId="77777777" w:rsidR="00ED50B6" w:rsidRDefault="00ED50B6">
            <w:pPr>
              <w:tabs>
                <w:tab w:val="left" w:pos="4144"/>
              </w:tabs>
              <w:spacing w:before="40" w:after="40" w:line="259" w:lineRule="auto"/>
              <w:rPr>
                <w:rFonts w:ascii="Arial" w:eastAsia="Arial" w:hAnsi="Arial" w:cs="Arial"/>
                <w:sz w:val="20"/>
                <w:szCs w:val="20"/>
              </w:rPr>
            </w:pPr>
          </w:p>
          <w:p w14:paraId="00000107" w14:textId="77777777" w:rsidR="00ED50B6" w:rsidRDefault="00ED50B6">
            <w:pPr>
              <w:tabs>
                <w:tab w:val="left" w:pos="4144"/>
              </w:tabs>
              <w:spacing w:before="40" w:after="40" w:line="259" w:lineRule="auto"/>
              <w:rPr>
                <w:rFonts w:ascii="Arial" w:eastAsia="Arial" w:hAnsi="Arial" w:cs="Arial"/>
                <w:sz w:val="20"/>
                <w:szCs w:val="20"/>
              </w:rPr>
            </w:pPr>
          </w:p>
        </w:tc>
      </w:tr>
      <w:tr w:rsidR="00ED50B6" w14:paraId="62F4C203" w14:textId="77777777">
        <w:trPr>
          <w:trHeight w:val="605"/>
        </w:trPr>
        <w:tc>
          <w:tcPr>
            <w:tcW w:w="1260" w:type="dxa"/>
            <w:tcBorders>
              <w:top w:val="single" w:sz="4" w:space="0" w:color="000000"/>
              <w:left w:val="single" w:sz="4" w:space="0" w:color="000000"/>
              <w:bottom w:val="single" w:sz="4" w:space="0" w:color="000000"/>
              <w:right w:val="single" w:sz="4" w:space="0" w:color="000000"/>
            </w:tcBorders>
            <w:shd w:val="clear" w:color="auto" w:fill="DADADB"/>
            <w:tcMar>
              <w:right w:w="1" w:type="dxa"/>
            </w:tcMar>
            <w:vAlign w:val="center"/>
          </w:tcPr>
          <w:p w14:paraId="0000010D" w14:textId="77777777" w:rsidR="00ED50B6" w:rsidRDefault="00000000">
            <w:pPr>
              <w:spacing w:before="40" w:after="40" w:line="259" w:lineRule="auto"/>
              <w:ind w:left="107"/>
              <w:rPr>
                <w:rFonts w:ascii="Arial" w:eastAsia="Arial" w:hAnsi="Arial" w:cs="Arial"/>
              </w:rPr>
            </w:pPr>
            <w:r>
              <w:rPr>
                <w:rFonts w:ascii="Arial" w:eastAsia="Arial" w:hAnsi="Arial" w:cs="Arial"/>
                <w:b/>
                <w:sz w:val="20"/>
                <w:szCs w:val="20"/>
              </w:rPr>
              <w:t xml:space="preserve">PREP-5 </w:t>
            </w:r>
          </w:p>
        </w:tc>
        <w:tc>
          <w:tcPr>
            <w:tcW w:w="6644" w:type="dxa"/>
            <w:tcBorders>
              <w:top w:val="single" w:sz="4" w:space="0" w:color="000000"/>
              <w:left w:val="single" w:sz="4" w:space="0" w:color="000000"/>
              <w:bottom w:val="single" w:sz="4" w:space="0" w:color="000000"/>
              <w:right w:val="single" w:sz="4" w:space="0" w:color="000000"/>
            </w:tcBorders>
            <w:tcMar>
              <w:right w:w="1" w:type="dxa"/>
            </w:tcMar>
            <w:vAlign w:val="center"/>
          </w:tcPr>
          <w:p w14:paraId="0000010E" w14:textId="77777777" w:rsidR="00ED50B6" w:rsidRDefault="00000000">
            <w:pPr>
              <w:spacing w:before="40" w:after="40" w:line="259" w:lineRule="auto"/>
              <w:ind w:left="108"/>
              <w:rPr>
                <w:rFonts w:ascii="Arial" w:eastAsia="Arial" w:hAnsi="Arial" w:cs="Arial"/>
              </w:rPr>
            </w:pPr>
            <w:r>
              <w:rPr>
                <w:rFonts w:ascii="Arial" w:eastAsia="Arial" w:hAnsi="Arial" w:cs="Arial"/>
                <w:sz w:val="20"/>
                <w:szCs w:val="20"/>
              </w:rPr>
              <w:t xml:space="preserve">A community tsunami exercise is conducted regularly according to a plan or programme (or equivalent).    </w:t>
            </w:r>
            <w:r>
              <w:rPr>
                <w:rFonts w:ascii="Arial" w:eastAsia="Arial" w:hAnsi="Arial" w:cs="Arial"/>
                <w:b/>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E0E0E1"/>
            <w:tcMar>
              <w:right w:w="1" w:type="dxa"/>
            </w:tcMar>
          </w:tcPr>
          <w:p w14:paraId="00000112" w14:textId="77777777" w:rsidR="00ED50B6" w:rsidRDefault="00ED50B6">
            <w:pPr>
              <w:spacing w:before="40" w:after="40" w:line="259" w:lineRule="auto"/>
              <w:ind w:left="-10052" w:right="1030"/>
              <w:rPr>
                <w:rFonts w:ascii="Arial" w:eastAsia="Arial" w:hAnsi="Arial" w:cs="Arial"/>
              </w:rPr>
            </w:pPr>
          </w:p>
          <w:p w14:paraId="00000113" w14:textId="77777777" w:rsidR="00ED50B6" w:rsidRDefault="00000000">
            <w:pPr>
              <w:spacing w:before="40" w:after="40" w:line="259" w:lineRule="auto"/>
              <w:rPr>
                <w:rFonts w:ascii="Arial" w:eastAsia="Arial" w:hAnsi="Arial" w:cs="Arial"/>
              </w:rPr>
            </w:pPr>
            <w:r>
              <w:rPr>
                <w:rFonts w:ascii="Arial" w:eastAsia="Arial" w:hAnsi="Arial" w:cs="Arial"/>
                <w:sz w:val="20"/>
                <w:szCs w:val="20"/>
              </w:rPr>
              <w:t xml:space="preserve"> Verified</w:t>
            </w:r>
            <w:r>
              <w:rPr>
                <w:noProof/>
              </w:rPr>
              <w:drawing>
                <wp:anchor distT="0" distB="0" distL="114300" distR="114300" simplePos="0" relativeHeight="251670528" behindDoc="0" locked="0" layoutInCell="1" hidden="0" allowOverlap="1" wp14:anchorId="7BC4A983" wp14:editId="42A800A6">
                  <wp:simplePos x="0" y="0"/>
                  <wp:positionH relativeFrom="column">
                    <wp:posOffset>8256</wp:posOffset>
                  </wp:positionH>
                  <wp:positionV relativeFrom="paragraph">
                    <wp:posOffset>11430</wp:posOffset>
                  </wp:positionV>
                  <wp:extent cx="127635" cy="127635"/>
                  <wp:effectExtent l="0" t="0" r="0" b="0"/>
                  <wp:wrapSquare wrapText="bothSides" distT="0" distB="0" distL="114300" distR="114300"/>
                  <wp:docPr id="23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62C3E400" w14:textId="77777777">
        <w:trPr>
          <w:trHeight w:val="1958"/>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EDEDED"/>
          </w:tcPr>
          <w:p w14:paraId="00000114"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How does the community (quantitatively or qualitatively) practice tsunami evacuation?</w:t>
            </w:r>
          </w:p>
          <w:p w14:paraId="00000115" w14:textId="77777777" w:rsidR="00ED50B6" w:rsidRDefault="00ED50B6">
            <w:pPr>
              <w:spacing w:line="259" w:lineRule="auto"/>
              <w:ind w:left="107"/>
              <w:rPr>
                <w:rFonts w:ascii="Arial" w:eastAsia="Arial" w:hAnsi="Arial" w:cs="Arial"/>
                <w:sz w:val="16"/>
                <w:szCs w:val="16"/>
              </w:rPr>
            </w:pPr>
          </w:p>
          <w:p w14:paraId="00000116" w14:textId="77777777" w:rsidR="00ED50B6" w:rsidRDefault="00ED50B6">
            <w:pPr>
              <w:spacing w:line="259" w:lineRule="auto"/>
              <w:ind w:left="107"/>
              <w:rPr>
                <w:rFonts w:ascii="Arial" w:eastAsia="Arial" w:hAnsi="Arial" w:cs="Arial"/>
                <w:sz w:val="16"/>
                <w:szCs w:val="16"/>
              </w:rPr>
            </w:pPr>
          </w:p>
          <w:p w14:paraId="00000117" w14:textId="77777777" w:rsidR="00ED50B6" w:rsidRDefault="00ED50B6">
            <w:pPr>
              <w:spacing w:line="259" w:lineRule="auto"/>
              <w:ind w:left="107"/>
              <w:rPr>
                <w:rFonts w:ascii="Arial" w:eastAsia="Arial" w:hAnsi="Arial" w:cs="Arial"/>
                <w:sz w:val="16"/>
                <w:szCs w:val="16"/>
              </w:rPr>
            </w:pPr>
          </w:p>
          <w:p w14:paraId="00000118" w14:textId="77777777" w:rsidR="00ED50B6" w:rsidRDefault="00ED50B6">
            <w:pPr>
              <w:spacing w:line="259" w:lineRule="auto"/>
              <w:ind w:left="107"/>
              <w:rPr>
                <w:rFonts w:ascii="Arial" w:eastAsia="Arial" w:hAnsi="Arial" w:cs="Arial"/>
                <w:sz w:val="16"/>
                <w:szCs w:val="16"/>
              </w:rPr>
            </w:pPr>
          </w:p>
          <w:p w14:paraId="00000119" w14:textId="77777777" w:rsidR="00ED50B6" w:rsidRDefault="00ED50B6">
            <w:pPr>
              <w:spacing w:line="259" w:lineRule="auto"/>
              <w:ind w:left="107"/>
              <w:rPr>
                <w:rFonts w:ascii="Arial" w:eastAsia="Arial" w:hAnsi="Arial" w:cs="Arial"/>
                <w:sz w:val="16"/>
                <w:szCs w:val="16"/>
              </w:rPr>
            </w:pPr>
          </w:p>
          <w:p w14:paraId="0000011A" w14:textId="77777777" w:rsidR="00ED50B6" w:rsidRDefault="00ED50B6">
            <w:pPr>
              <w:spacing w:line="259" w:lineRule="auto"/>
              <w:rPr>
                <w:rFonts w:ascii="Arial" w:eastAsia="Arial" w:hAnsi="Arial" w:cs="Arial"/>
                <w:sz w:val="16"/>
                <w:szCs w:val="16"/>
              </w:rPr>
            </w:pPr>
          </w:p>
          <w:p w14:paraId="0000011B" w14:textId="77777777" w:rsidR="00ED50B6" w:rsidRDefault="00ED50B6">
            <w:pPr>
              <w:spacing w:line="259" w:lineRule="auto"/>
              <w:ind w:left="107"/>
              <w:rPr>
                <w:rFonts w:ascii="Arial" w:eastAsia="Arial" w:hAnsi="Arial" w:cs="Arial"/>
                <w:sz w:val="16"/>
                <w:szCs w:val="16"/>
              </w:rPr>
            </w:pPr>
          </w:p>
          <w:p w14:paraId="0000011C" w14:textId="77777777" w:rsidR="00ED50B6" w:rsidRDefault="00ED50B6">
            <w:pPr>
              <w:spacing w:line="259" w:lineRule="auto"/>
              <w:ind w:left="107"/>
              <w:rPr>
                <w:rFonts w:ascii="Arial" w:eastAsia="Arial" w:hAnsi="Arial" w:cs="Arial"/>
                <w:sz w:val="16"/>
                <w:szCs w:val="16"/>
              </w:rPr>
            </w:pPr>
          </w:p>
          <w:p w14:paraId="0000011D" w14:textId="77777777" w:rsidR="00ED50B6" w:rsidRDefault="00ED50B6">
            <w:pPr>
              <w:spacing w:line="259" w:lineRule="auto"/>
              <w:ind w:left="107"/>
              <w:rPr>
                <w:rFonts w:ascii="Arial" w:eastAsia="Arial" w:hAnsi="Arial" w:cs="Arial"/>
                <w:sz w:val="16"/>
                <w:szCs w:val="16"/>
              </w:rPr>
            </w:pPr>
          </w:p>
          <w:p w14:paraId="0000011E" w14:textId="77777777" w:rsidR="00ED50B6" w:rsidRDefault="00ED50B6">
            <w:pPr>
              <w:spacing w:line="259" w:lineRule="auto"/>
              <w:rPr>
                <w:rFonts w:ascii="Arial" w:eastAsia="Arial" w:hAnsi="Arial" w:cs="Arial"/>
              </w:rPr>
            </w:pPr>
          </w:p>
        </w:tc>
      </w:tr>
    </w:tbl>
    <w:p w14:paraId="00000124" w14:textId="77777777" w:rsidR="00ED50B6" w:rsidRDefault="00ED50B6">
      <w:pPr>
        <w:rPr>
          <w:rFonts w:ascii="Arial" w:eastAsia="Arial" w:hAnsi="Arial" w:cs="Arial"/>
        </w:rPr>
      </w:pPr>
    </w:p>
    <w:tbl>
      <w:tblPr>
        <w:tblStyle w:val="a3"/>
        <w:tblW w:w="9021" w:type="dxa"/>
        <w:tblInd w:w="5" w:type="dxa"/>
        <w:tblLayout w:type="fixed"/>
        <w:tblLook w:val="0400" w:firstRow="0" w:lastRow="0" w:firstColumn="0" w:lastColumn="0" w:noHBand="0" w:noVBand="1"/>
      </w:tblPr>
      <w:tblGrid>
        <w:gridCol w:w="25"/>
        <w:gridCol w:w="1253"/>
        <w:gridCol w:w="106"/>
        <w:gridCol w:w="6501"/>
        <w:gridCol w:w="10"/>
        <w:gridCol w:w="1126"/>
      </w:tblGrid>
      <w:tr w:rsidR="00ED50B6" w14:paraId="100EB7F5" w14:textId="77777777">
        <w:trPr>
          <w:trHeight w:val="548"/>
        </w:trPr>
        <w:tc>
          <w:tcPr>
            <w:tcW w:w="6" w:type="dxa"/>
          </w:tcPr>
          <w:p w14:paraId="00000125" w14:textId="77777777" w:rsidR="00ED50B6" w:rsidRDefault="00ED50B6">
            <w:pPr>
              <w:widowControl w:val="0"/>
              <w:pBdr>
                <w:top w:val="nil"/>
                <w:left w:val="nil"/>
                <w:bottom w:val="nil"/>
                <w:right w:val="nil"/>
                <w:between w:val="nil"/>
              </w:pBdr>
              <w:spacing w:line="276" w:lineRule="auto"/>
              <w:rPr>
                <w:rFonts w:ascii="Arial" w:eastAsia="Arial" w:hAnsi="Arial" w:cs="Arial"/>
              </w:rPr>
            </w:pPr>
          </w:p>
        </w:tc>
        <w:tc>
          <w:tcPr>
            <w:tcW w:w="9046" w:type="dxa"/>
            <w:gridSpan w:val="5"/>
            <w:tcBorders>
              <w:top w:val="single" w:sz="4" w:space="0" w:color="000000"/>
              <w:left w:val="single" w:sz="4" w:space="0" w:color="000000"/>
              <w:bottom w:val="single" w:sz="4" w:space="0" w:color="000000"/>
              <w:right w:val="single" w:sz="4" w:space="0" w:color="000000"/>
            </w:tcBorders>
            <w:shd w:val="clear" w:color="auto" w:fill="DADADB"/>
            <w:vAlign w:val="bottom"/>
          </w:tcPr>
          <w:p w14:paraId="00000126" w14:textId="77777777" w:rsidR="00ED50B6" w:rsidRDefault="00000000">
            <w:pPr>
              <w:spacing w:before="120" w:after="120"/>
              <w:ind w:left="14"/>
              <w:jc w:val="center"/>
              <w:rPr>
                <w:rFonts w:ascii="Arial" w:eastAsia="Arial" w:hAnsi="Arial" w:cs="Arial"/>
              </w:rPr>
            </w:pPr>
            <w:r>
              <w:rPr>
                <w:rFonts w:ascii="Arial" w:eastAsia="Arial" w:hAnsi="Arial" w:cs="Arial"/>
                <w:b/>
              </w:rPr>
              <w:t>IV. Response Indicators (RESP)</w:t>
            </w:r>
          </w:p>
        </w:tc>
      </w:tr>
      <w:tr w:rsidR="00ED50B6" w14:paraId="1FB3F152" w14:textId="77777777">
        <w:trPr>
          <w:trHeight w:val="515"/>
        </w:trPr>
        <w:tc>
          <w:tcPr>
            <w:tcW w:w="6" w:type="dxa"/>
          </w:tcPr>
          <w:p w14:paraId="0000012D" w14:textId="77777777" w:rsidR="00ED50B6" w:rsidRDefault="00ED50B6">
            <w:pPr>
              <w:widowControl w:val="0"/>
              <w:pBdr>
                <w:top w:val="nil"/>
                <w:left w:val="nil"/>
                <w:bottom w:val="nil"/>
                <w:right w:val="nil"/>
                <w:between w:val="nil"/>
              </w:pBdr>
              <w:spacing w:line="276" w:lineRule="auto"/>
              <w:rPr>
                <w:rFonts w:ascii="Arial" w:eastAsia="Arial" w:hAnsi="Arial"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12E" w14:textId="77777777" w:rsidR="00ED50B6" w:rsidRDefault="00000000">
            <w:pPr>
              <w:spacing w:before="40" w:after="40" w:line="259" w:lineRule="auto"/>
              <w:ind w:left="80"/>
              <w:rPr>
                <w:rFonts w:ascii="Arial" w:eastAsia="Arial" w:hAnsi="Arial" w:cs="Arial"/>
              </w:rPr>
            </w:pPr>
            <w:r>
              <w:rPr>
                <w:rFonts w:ascii="Arial" w:eastAsia="Arial" w:hAnsi="Arial" w:cs="Arial"/>
                <w:b/>
                <w:sz w:val="20"/>
                <w:szCs w:val="20"/>
              </w:rPr>
              <w:t>RESP-1</w:t>
            </w:r>
            <w:r>
              <w:rPr>
                <w:rFonts w:ascii="Arial" w:eastAsia="Arial" w:hAnsi="Arial" w:cs="Arial"/>
                <w:b/>
              </w:rPr>
              <w:t xml:space="preserve"> </w:t>
            </w:r>
          </w:p>
        </w:tc>
        <w:tc>
          <w:tcPr>
            <w:tcW w:w="6644" w:type="dxa"/>
            <w:gridSpan w:val="2"/>
            <w:tcBorders>
              <w:top w:val="single" w:sz="4" w:space="0" w:color="000000"/>
              <w:left w:val="single" w:sz="4" w:space="0" w:color="000000"/>
              <w:bottom w:val="single" w:sz="4" w:space="0" w:color="000000"/>
              <w:right w:val="single" w:sz="4" w:space="0" w:color="000000"/>
            </w:tcBorders>
            <w:vAlign w:val="center"/>
          </w:tcPr>
          <w:p w14:paraId="0000012F" w14:textId="77777777" w:rsidR="00ED50B6" w:rsidRDefault="00000000">
            <w:pPr>
              <w:spacing w:before="40" w:after="40" w:line="259" w:lineRule="auto"/>
              <w:ind w:left="109" w:right="25"/>
              <w:rPr>
                <w:rFonts w:ascii="Arial" w:eastAsia="Arial" w:hAnsi="Arial" w:cs="Arial"/>
              </w:rPr>
            </w:pPr>
            <w:r>
              <w:rPr>
                <w:rFonts w:ascii="Arial" w:eastAsia="Arial" w:hAnsi="Arial" w:cs="Arial"/>
                <w:sz w:val="20"/>
                <w:szCs w:val="20"/>
              </w:rPr>
              <w:t>A community tsunami emergency response plan is approved.</w:t>
            </w:r>
          </w:p>
        </w:tc>
        <w:tc>
          <w:tcPr>
            <w:tcW w:w="1142" w:type="dxa"/>
            <w:gridSpan w:val="2"/>
            <w:tcBorders>
              <w:top w:val="single" w:sz="4" w:space="0" w:color="000000"/>
              <w:left w:val="single" w:sz="4" w:space="0" w:color="000000"/>
              <w:right w:val="single" w:sz="4" w:space="0" w:color="000000"/>
            </w:tcBorders>
            <w:shd w:val="clear" w:color="auto" w:fill="DADADB"/>
            <w:vAlign w:val="center"/>
          </w:tcPr>
          <w:p w14:paraId="00000132" w14:textId="77777777" w:rsidR="00ED50B6" w:rsidRDefault="00000000">
            <w:pPr>
              <w:spacing w:before="40" w:after="40" w:line="259" w:lineRule="auto"/>
              <w:rPr>
                <w:rFonts w:ascii="Arial" w:eastAsia="Arial" w:hAnsi="Arial" w:cs="Arial"/>
                <w:b/>
              </w:rPr>
            </w:pPr>
            <w:r>
              <w:rPr>
                <w:rFonts w:ascii="Arial" w:eastAsia="Arial" w:hAnsi="Arial" w:cs="Arial"/>
                <w:sz w:val="20"/>
                <w:szCs w:val="20"/>
              </w:rPr>
              <w:t>Verified</w:t>
            </w:r>
            <w:r>
              <w:rPr>
                <w:noProof/>
              </w:rPr>
              <w:drawing>
                <wp:anchor distT="0" distB="0" distL="114300" distR="114300" simplePos="0" relativeHeight="251671552" behindDoc="0" locked="0" layoutInCell="1" hidden="0" allowOverlap="1" wp14:anchorId="422DB619" wp14:editId="6EAFB618">
                  <wp:simplePos x="0" y="0"/>
                  <wp:positionH relativeFrom="column">
                    <wp:posOffset>-243839</wp:posOffset>
                  </wp:positionH>
                  <wp:positionV relativeFrom="paragraph">
                    <wp:posOffset>27940</wp:posOffset>
                  </wp:positionV>
                  <wp:extent cx="127635" cy="127635"/>
                  <wp:effectExtent l="0" t="0" r="0" b="0"/>
                  <wp:wrapSquare wrapText="bothSides" distT="0" distB="0" distL="114300" distR="114300"/>
                  <wp:docPr id="23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553D9CEC" w14:textId="77777777">
        <w:trPr>
          <w:trHeight w:val="1667"/>
        </w:trPr>
        <w:tc>
          <w:tcPr>
            <w:tcW w:w="6" w:type="dxa"/>
          </w:tcPr>
          <w:p w14:paraId="00000135" w14:textId="77777777" w:rsidR="00ED50B6" w:rsidRDefault="00ED50B6">
            <w:pPr>
              <w:widowControl w:val="0"/>
              <w:pBdr>
                <w:top w:val="nil"/>
                <w:left w:val="nil"/>
                <w:bottom w:val="nil"/>
                <w:right w:val="nil"/>
                <w:between w:val="nil"/>
              </w:pBdr>
              <w:spacing w:line="276" w:lineRule="auto"/>
              <w:rPr>
                <w:rFonts w:ascii="Arial" w:eastAsia="Arial" w:hAnsi="Arial" w:cs="Arial"/>
                <w:sz w:val="20"/>
                <w:szCs w:val="20"/>
              </w:rPr>
            </w:pPr>
          </w:p>
        </w:tc>
        <w:tc>
          <w:tcPr>
            <w:tcW w:w="9046" w:type="dxa"/>
            <w:gridSpan w:val="5"/>
            <w:tcBorders>
              <w:top w:val="single" w:sz="4" w:space="0" w:color="000000"/>
              <w:left w:val="single" w:sz="4" w:space="0" w:color="000000"/>
              <w:bottom w:val="single" w:sz="4" w:space="0" w:color="000000"/>
              <w:right w:val="single" w:sz="4" w:space="0" w:color="000000"/>
            </w:tcBorders>
            <w:shd w:val="clear" w:color="auto" w:fill="EDEDED"/>
            <w:vAlign w:val="center"/>
          </w:tcPr>
          <w:p w14:paraId="00000136"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 xml:space="preserve">How does the community (quantitatively or qualitatively) plan to address responding to a tsunami? </w:t>
            </w:r>
          </w:p>
          <w:p w14:paraId="00000137" w14:textId="77777777" w:rsidR="00ED50B6" w:rsidRDefault="00ED50B6">
            <w:pPr>
              <w:spacing w:before="40" w:after="40" w:line="259" w:lineRule="auto"/>
              <w:ind w:right="30"/>
              <w:rPr>
                <w:rFonts w:ascii="Arial" w:eastAsia="Arial" w:hAnsi="Arial" w:cs="Arial"/>
                <w:sz w:val="20"/>
                <w:szCs w:val="20"/>
              </w:rPr>
            </w:pPr>
          </w:p>
          <w:p w14:paraId="00000138" w14:textId="77777777" w:rsidR="00ED50B6" w:rsidRDefault="00ED50B6">
            <w:pPr>
              <w:spacing w:before="40" w:after="40" w:line="259" w:lineRule="auto"/>
              <w:ind w:right="30"/>
              <w:rPr>
                <w:rFonts w:ascii="Arial" w:eastAsia="Arial" w:hAnsi="Arial" w:cs="Arial"/>
                <w:sz w:val="20"/>
                <w:szCs w:val="20"/>
              </w:rPr>
            </w:pPr>
          </w:p>
          <w:p w14:paraId="00000139" w14:textId="77777777" w:rsidR="00ED50B6" w:rsidRDefault="00ED50B6">
            <w:pPr>
              <w:spacing w:before="40" w:after="40" w:line="259" w:lineRule="auto"/>
              <w:ind w:right="30"/>
              <w:rPr>
                <w:rFonts w:ascii="Arial" w:eastAsia="Arial" w:hAnsi="Arial" w:cs="Arial"/>
                <w:sz w:val="20"/>
                <w:szCs w:val="20"/>
              </w:rPr>
            </w:pPr>
          </w:p>
          <w:p w14:paraId="0000013A" w14:textId="77777777" w:rsidR="00ED50B6" w:rsidRDefault="00ED50B6">
            <w:pPr>
              <w:spacing w:before="40" w:after="40" w:line="259" w:lineRule="auto"/>
              <w:ind w:right="30"/>
              <w:rPr>
                <w:rFonts w:ascii="Arial" w:eastAsia="Arial" w:hAnsi="Arial" w:cs="Arial"/>
                <w:sz w:val="20"/>
                <w:szCs w:val="20"/>
              </w:rPr>
            </w:pPr>
          </w:p>
          <w:p w14:paraId="0000013B" w14:textId="77777777" w:rsidR="00ED50B6" w:rsidRDefault="00ED50B6">
            <w:pPr>
              <w:spacing w:before="40" w:after="40" w:line="259" w:lineRule="auto"/>
              <w:ind w:right="30"/>
              <w:rPr>
                <w:rFonts w:ascii="Arial" w:eastAsia="Arial" w:hAnsi="Arial" w:cs="Arial"/>
                <w:sz w:val="20"/>
                <w:szCs w:val="20"/>
              </w:rPr>
            </w:pPr>
          </w:p>
        </w:tc>
      </w:tr>
      <w:tr w:rsidR="00ED50B6" w14:paraId="37B9E42C" w14:textId="77777777">
        <w:trPr>
          <w:trHeight w:val="721"/>
        </w:trPr>
        <w:tc>
          <w:tcPr>
            <w:tcW w:w="6" w:type="dxa"/>
          </w:tcPr>
          <w:p w14:paraId="00000142" w14:textId="77777777" w:rsidR="00ED50B6" w:rsidRDefault="00ED50B6">
            <w:pPr>
              <w:widowControl w:val="0"/>
              <w:pBdr>
                <w:top w:val="nil"/>
                <w:left w:val="nil"/>
                <w:bottom w:val="nil"/>
                <w:right w:val="nil"/>
                <w:between w:val="nil"/>
              </w:pBdr>
              <w:spacing w:line="276" w:lineRule="auto"/>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0000143" w14:textId="77777777" w:rsidR="00ED50B6" w:rsidRDefault="00000000">
            <w:pPr>
              <w:spacing w:before="40" w:after="40" w:line="259" w:lineRule="auto"/>
              <w:ind w:left="107"/>
              <w:rPr>
                <w:rFonts w:ascii="Arial" w:eastAsia="Arial" w:hAnsi="Arial" w:cs="Arial"/>
              </w:rPr>
            </w:pPr>
            <w:r>
              <w:rPr>
                <w:rFonts w:ascii="Arial" w:eastAsia="Arial" w:hAnsi="Arial" w:cs="Arial"/>
                <w:b/>
                <w:sz w:val="20"/>
                <w:szCs w:val="20"/>
              </w:rPr>
              <w:t xml:space="preserve">RESP-2 </w:t>
            </w:r>
          </w:p>
        </w:tc>
        <w:tc>
          <w:tcPr>
            <w:tcW w:w="6644" w:type="dxa"/>
            <w:gridSpan w:val="2"/>
            <w:tcBorders>
              <w:top w:val="single" w:sz="4" w:space="0" w:color="000000"/>
              <w:left w:val="single" w:sz="4" w:space="0" w:color="000000"/>
              <w:bottom w:val="single" w:sz="4" w:space="0" w:color="000000"/>
              <w:right w:val="single" w:sz="4" w:space="0" w:color="000000"/>
            </w:tcBorders>
            <w:vAlign w:val="center"/>
          </w:tcPr>
          <w:p w14:paraId="00000144" w14:textId="77777777" w:rsidR="00ED50B6" w:rsidRDefault="00000000">
            <w:pPr>
              <w:spacing w:before="40" w:after="40" w:line="259" w:lineRule="auto"/>
              <w:ind w:left="109" w:firstLine="15"/>
              <w:rPr>
                <w:rFonts w:ascii="Arial" w:eastAsia="Arial" w:hAnsi="Arial" w:cs="Arial"/>
              </w:rPr>
            </w:pPr>
            <w:r>
              <w:rPr>
                <w:rFonts w:ascii="Arial" w:eastAsia="Arial" w:hAnsi="Arial" w:cs="Arial"/>
                <w:sz w:val="20"/>
                <w:szCs w:val="20"/>
              </w:rPr>
              <w:t>The capacity to manage emergency response operations during a tsunami is in place.</w:t>
            </w:r>
          </w:p>
        </w:tc>
        <w:tc>
          <w:tcPr>
            <w:tcW w:w="1142" w:type="dxa"/>
            <w:gridSpan w:val="2"/>
            <w:tcBorders>
              <w:top w:val="single" w:sz="4" w:space="0" w:color="000000"/>
              <w:left w:val="single" w:sz="4" w:space="0" w:color="000000"/>
              <w:bottom w:val="single" w:sz="4" w:space="0" w:color="000000"/>
              <w:right w:val="single" w:sz="4" w:space="0" w:color="000000"/>
            </w:tcBorders>
            <w:shd w:val="clear" w:color="auto" w:fill="E0E0E1"/>
          </w:tcPr>
          <w:p w14:paraId="00000147" w14:textId="77777777" w:rsidR="00ED50B6" w:rsidRDefault="00000000">
            <w:pPr>
              <w:spacing w:before="40" w:after="40" w:line="259" w:lineRule="auto"/>
              <w:ind w:right="3"/>
              <w:rPr>
                <w:rFonts w:ascii="Arial" w:eastAsia="Arial" w:hAnsi="Arial" w:cs="Arial"/>
              </w:rPr>
            </w:pPr>
            <w:r>
              <w:rPr>
                <w:noProof/>
              </w:rPr>
              <w:drawing>
                <wp:anchor distT="0" distB="0" distL="114300" distR="114300" simplePos="0" relativeHeight="251672576" behindDoc="0" locked="0" layoutInCell="1" hidden="0" allowOverlap="1" wp14:anchorId="65E9AED4" wp14:editId="50E4DB73">
                  <wp:simplePos x="0" y="0"/>
                  <wp:positionH relativeFrom="column">
                    <wp:posOffset>5081</wp:posOffset>
                  </wp:positionH>
                  <wp:positionV relativeFrom="paragraph">
                    <wp:posOffset>183871</wp:posOffset>
                  </wp:positionV>
                  <wp:extent cx="127635" cy="127635"/>
                  <wp:effectExtent l="0" t="0" r="0" b="0"/>
                  <wp:wrapSquare wrapText="bothSides" distT="0" distB="0" distL="114300" distR="114300"/>
                  <wp:docPr id="2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p w14:paraId="00000148" w14:textId="77777777" w:rsidR="00ED50B6" w:rsidRDefault="00000000">
            <w:pPr>
              <w:spacing w:before="40" w:after="40" w:line="259" w:lineRule="auto"/>
              <w:ind w:right="3"/>
              <w:rPr>
                <w:rFonts w:ascii="Arial" w:eastAsia="Arial" w:hAnsi="Arial" w:cs="Arial"/>
              </w:rPr>
            </w:pPr>
            <w:r>
              <w:rPr>
                <w:rFonts w:ascii="Arial" w:eastAsia="Arial" w:hAnsi="Arial" w:cs="Arial"/>
                <w:sz w:val="20"/>
                <w:szCs w:val="20"/>
              </w:rPr>
              <w:t>Verified</w:t>
            </w:r>
          </w:p>
        </w:tc>
      </w:tr>
      <w:tr w:rsidR="00ED50B6" w14:paraId="71734F09" w14:textId="77777777">
        <w:trPr>
          <w:trHeight w:val="1872"/>
        </w:trPr>
        <w:tc>
          <w:tcPr>
            <w:tcW w:w="6" w:type="dxa"/>
          </w:tcPr>
          <w:p w14:paraId="0000014B" w14:textId="77777777" w:rsidR="00ED50B6" w:rsidRDefault="00ED50B6">
            <w:pPr>
              <w:widowControl w:val="0"/>
              <w:pBdr>
                <w:top w:val="nil"/>
                <w:left w:val="nil"/>
                <w:bottom w:val="nil"/>
                <w:right w:val="nil"/>
                <w:between w:val="nil"/>
              </w:pBdr>
              <w:spacing w:line="276" w:lineRule="auto"/>
              <w:rPr>
                <w:rFonts w:ascii="Arial" w:eastAsia="Arial" w:hAnsi="Arial" w:cs="Arial"/>
                <w:sz w:val="20"/>
                <w:szCs w:val="20"/>
              </w:rPr>
            </w:pPr>
          </w:p>
        </w:tc>
        <w:tc>
          <w:tcPr>
            <w:tcW w:w="9046" w:type="dxa"/>
            <w:gridSpan w:val="5"/>
            <w:tcBorders>
              <w:top w:val="single" w:sz="4" w:space="0" w:color="000000"/>
              <w:left w:val="single" w:sz="4" w:space="0" w:color="000000"/>
              <w:bottom w:val="single" w:sz="4" w:space="0" w:color="000000"/>
              <w:right w:val="single" w:sz="4" w:space="0" w:color="000000"/>
            </w:tcBorders>
            <w:shd w:val="clear" w:color="auto" w:fill="EDEDED"/>
          </w:tcPr>
          <w:p w14:paraId="0000014C"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 xml:space="preserve">How does the community (quantitatively or qualitatively) ensure that the right resources and processes are in place to respond to a tsunami? </w:t>
            </w:r>
          </w:p>
          <w:p w14:paraId="0000014D" w14:textId="77777777" w:rsidR="00ED50B6" w:rsidRDefault="00ED50B6">
            <w:pPr>
              <w:spacing w:line="259" w:lineRule="auto"/>
              <w:rPr>
                <w:rFonts w:ascii="Arial" w:eastAsia="Arial" w:hAnsi="Arial" w:cs="Arial"/>
                <w:sz w:val="16"/>
                <w:szCs w:val="16"/>
              </w:rPr>
            </w:pPr>
          </w:p>
          <w:p w14:paraId="0000014E" w14:textId="77777777" w:rsidR="00ED50B6" w:rsidRDefault="00ED50B6">
            <w:pPr>
              <w:spacing w:line="259" w:lineRule="auto"/>
              <w:ind w:left="107"/>
              <w:rPr>
                <w:rFonts w:ascii="Arial" w:eastAsia="Arial" w:hAnsi="Arial" w:cs="Arial"/>
                <w:sz w:val="16"/>
                <w:szCs w:val="16"/>
              </w:rPr>
            </w:pPr>
          </w:p>
          <w:p w14:paraId="0000014F" w14:textId="77777777" w:rsidR="00ED50B6" w:rsidRDefault="00ED50B6">
            <w:pPr>
              <w:spacing w:line="259" w:lineRule="auto"/>
              <w:rPr>
                <w:rFonts w:ascii="Arial" w:eastAsia="Arial" w:hAnsi="Arial" w:cs="Arial"/>
                <w:sz w:val="16"/>
                <w:szCs w:val="16"/>
              </w:rPr>
            </w:pPr>
          </w:p>
          <w:p w14:paraId="00000150" w14:textId="77777777" w:rsidR="00ED50B6" w:rsidRDefault="00ED50B6">
            <w:pPr>
              <w:spacing w:line="259" w:lineRule="auto"/>
              <w:ind w:left="107"/>
              <w:rPr>
                <w:rFonts w:ascii="Arial" w:eastAsia="Arial" w:hAnsi="Arial" w:cs="Arial"/>
                <w:sz w:val="16"/>
                <w:szCs w:val="16"/>
              </w:rPr>
            </w:pPr>
          </w:p>
          <w:p w14:paraId="00000151" w14:textId="77777777" w:rsidR="00ED50B6" w:rsidRDefault="00ED50B6">
            <w:pPr>
              <w:spacing w:line="259" w:lineRule="auto"/>
              <w:ind w:left="107"/>
              <w:rPr>
                <w:rFonts w:ascii="Arial" w:eastAsia="Arial" w:hAnsi="Arial" w:cs="Arial"/>
                <w:sz w:val="16"/>
                <w:szCs w:val="16"/>
              </w:rPr>
            </w:pPr>
          </w:p>
          <w:p w14:paraId="00000152" w14:textId="77777777" w:rsidR="00ED50B6" w:rsidRDefault="00ED50B6">
            <w:pPr>
              <w:spacing w:line="259" w:lineRule="auto"/>
              <w:ind w:left="107"/>
              <w:rPr>
                <w:rFonts w:ascii="Arial" w:eastAsia="Arial" w:hAnsi="Arial" w:cs="Arial"/>
                <w:sz w:val="16"/>
                <w:szCs w:val="16"/>
              </w:rPr>
            </w:pPr>
          </w:p>
          <w:p w14:paraId="00000153" w14:textId="77777777" w:rsidR="00ED50B6" w:rsidRDefault="00ED50B6">
            <w:pPr>
              <w:spacing w:line="259" w:lineRule="auto"/>
              <w:ind w:left="107"/>
              <w:rPr>
                <w:rFonts w:ascii="Arial" w:eastAsia="Arial" w:hAnsi="Arial" w:cs="Arial"/>
              </w:rPr>
            </w:pPr>
          </w:p>
        </w:tc>
      </w:tr>
      <w:tr w:rsidR="00ED50B6" w14:paraId="6FAC116A" w14:textId="77777777">
        <w:trPr>
          <w:trHeight w:val="668"/>
        </w:trPr>
        <w:tc>
          <w:tcPr>
            <w:tcW w:w="1373" w:type="dxa"/>
            <w:gridSpan w:val="3"/>
            <w:tcBorders>
              <w:top w:val="single" w:sz="4" w:space="0" w:color="000000"/>
              <w:left w:val="single" w:sz="6" w:space="0" w:color="000000"/>
              <w:bottom w:val="single" w:sz="6" w:space="0" w:color="000000"/>
              <w:right w:val="single" w:sz="6" w:space="0" w:color="000000"/>
            </w:tcBorders>
            <w:shd w:val="clear" w:color="auto" w:fill="DADADB"/>
            <w:tcMar>
              <w:right w:w="0" w:type="dxa"/>
            </w:tcMar>
            <w:vAlign w:val="center"/>
          </w:tcPr>
          <w:p w14:paraId="0000015A" w14:textId="77777777" w:rsidR="00ED50B6" w:rsidRDefault="00000000">
            <w:pPr>
              <w:spacing w:before="40" w:after="40" w:line="259" w:lineRule="auto"/>
              <w:ind w:left="99"/>
              <w:jc w:val="both"/>
              <w:rPr>
                <w:rFonts w:ascii="Arial" w:eastAsia="Arial" w:hAnsi="Arial" w:cs="Arial"/>
              </w:rPr>
            </w:pPr>
            <w:r>
              <w:rPr>
                <w:rFonts w:ascii="Arial" w:eastAsia="Arial" w:hAnsi="Arial" w:cs="Arial"/>
                <w:b/>
                <w:sz w:val="20"/>
                <w:szCs w:val="20"/>
              </w:rPr>
              <w:t xml:space="preserve">RESP-3  </w:t>
            </w:r>
          </w:p>
        </w:tc>
        <w:tc>
          <w:tcPr>
            <w:tcW w:w="6547" w:type="dxa"/>
            <w:gridSpan w:val="2"/>
            <w:tcBorders>
              <w:top w:val="single" w:sz="4" w:space="0" w:color="000000"/>
              <w:left w:val="single" w:sz="6" w:space="0" w:color="000000"/>
              <w:bottom w:val="single" w:sz="6" w:space="0" w:color="000000"/>
              <w:right w:val="single" w:sz="6" w:space="0" w:color="000000"/>
            </w:tcBorders>
            <w:tcMar>
              <w:right w:w="0" w:type="dxa"/>
            </w:tcMar>
            <w:vAlign w:val="center"/>
          </w:tcPr>
          <w:p w14:paraId="0000015D" w14:textId="77777777" w:rsidR="00ED50B6" w:rsidRDefault="00000000">
            <w:pPr>
              <w:spacing w:before="40" w:after="40" w:line="259" w:lineRule="auto"/>
              <w:ind w:left="100"/>
              <w:rPr>
                <w:rFonts w:ascii="Arial" w:eastAsia="Arial" w:hAnsi="Arial" w:cs="Arial"/>
                <w:sz w:val="20"/>
                <w:szCs w:val="20"/>
              </w:rPr>
            </w:pPr>
            <w:r>
              <w:rPr>
                <w:rFonts w:ascii="Arial" w:eastAsia="Arial" w:hAnsi="Arial" w:cs="Arial"/>
                <w:sz w:val="20"/>
                <w:szCs w:val="20"/>
              </w:rPr>
              <w:t>Redundant and reliable means to timely receive 24-hour official tsunami alerts are in place</w:t>
            </w:r>
            <w:r>
              <w:rPr>
                <w:rFonts w:ascii="Arial" w:eastAsia="Arial" w:hAnsi="Arial" w:cs="Arial"/>
                <w:b/>
              </w:rPr>
              <w:t xml:space="preserve"> </w:t>
            </w:r>
          </w:p>
        </w:tc>
        <w:tc>
          <w:tcPr>
            <w:tcW w:w="1131" w:type="dxa"/>
            <w:tcBorders>
              <w:top w:val="single" w:sz="4" w:space="0" w:color="000000"/>
              <w:bottom w:val="single" w:sz="4" w:space="0" w:color="000000"/>
              <w:right w:val="single" w:sz="4" w:space="0" w:color="000000"/>
            </w:tcBorders>
            <w:shd w:val="clear" w:color="auto" w:fill="D9D9D9"/>
            <w:tcMar>
              <w:right w:w="0" w:type="dxa"/>
            </w:tcMar>
            <w:vAlign w:val="bottom"/>
          </w:tcPr>
          <w:p w14:paraId="00000160" w14:textId="77777777" w:rsidR="00ED50B6" w:rsidRDefault="00000000">
            <w:pPr>
              <w:spacing w:before="40" w:after="40" w:line="259" w:lineRule="auto"/>
              <w:rPr>
                <w:rFonts w:ascii="Arial" w:eastAsia="Arial" w:hAnsi="Arial" w:cs="Arial"/>
              </w:rPr>
            </w:pPr>
            <w:r>
              <w:rPr>
                <w:rFonts w:ascii="Arial" w:eastAsia="Arial" w:hAnsi="Arial" w:cs="Arial"/>
                <w:sz w:val="20"/>
                <w:szCs w:val="20"/>
              </w:rPr>
              <w:t xml:space="preserve">Verified </w:t>
            </w:r>
            <w:r>
              <w:rPr>
                <w:noProof/>
              </w:rPr>
              <w:drawing>
                <wp:anchor distT="0" distB="0" distL="114300" distR="114300" simplePos="0" relativeHeight="251673600" behindDoc="0" locked="0" layoutInCell="1" hidden="0" allowOverlap="1" wp14:anchorId="76C39BD9" wp14:editId="493EC234">
                  <wp:simplePos x="0" y="0"/>
                  <wp:positionH relativeFrom="column">
                    <wp:posOffset>-247649</wp:posOffset>
                  </wp:positionH>
                  <wp:positionV relativeFrom="paragraph">
                    <wp:posOffset>11430</wp:posOffset>
                  </wp:positionV>
                  <wp:extent cx="127635" cy="127635"/>
                  <wp:effectExtent l="0" t="0" r="0" b="0"/>
                  <wp:wrapSquare wrapText="bothSides" distT="0" distB="0" distL="114300" distR="114300"/>
                  <wp:docPr id="2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3725072B" w14:textId="77777777">
        <w:trPr>
          <w:trHeight w:val="1667"/>
        </w:trPr>
        <w:tc>
          <w:tcPr>
            <w:tcW w:w="9051" w:type="dxa"/>
            <w:gridSpan w:val="6"/>
            <w:tcBorders>
              <w:top w:val="single" w:sz="6" w:space="0" w:color="000000"/>
              <w:left w:val="single" w:sz="6" w:space="0" w:color="000000"/>
              <w:bottom w:val="single" w:sz="6" w:space="0" w:color="000000"/>
              <w:right w:val="single" w:sz="6" w:space="0" w:color="000000"/>
            </w:tcBorders>
            <w:shd w:val="clear" w:color="auto" w:fill="EDEDED"/>
            <w:tcMar>
              <w:right w:w="0" w:type="dxa"/>
            </w:tcMar>
            <w:vAlign w:val="center"/>
          </w:tcPr>
          <w:p w14:paraId="00000161"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 xml:space="preserve">How does the community (quantitatively or qualitatively) receive official tsunami alerts? </w:t>
            </w:r>
          </w:p>
          <w:p w14:paraId="00000162" w14:textId="77777777" w:rsidR="00ED50B6" w:rsidRDefault="00ED50B6">
            <w:pPr>
              <w:spacing w:before="40" w:after="40" w:line="259" w:lineRule="auto"/>
              <w:ind w:left="7"/>
              <w:rPr>
                <w:rFonts w:ascii="Arial" w:eastAsia="Arial" w:hAnsi="Arial" w:cs="Arial"/>
                <w:sz w:val="18"/>
                <w:szCs w:val="18"/>
              </w:rPr>
            </w:pPr>
          </w:p>
          <w:p w14:paraId="00000163" w14:textId="77777777" w:rsidR="00ED50B6" w:rsidRDefault="00ED50B6">
            <w:pPr>
              <w:spacing w:before="40" w:after="40" w:line="259" w:lineRule="auto"/>
              <w:ind w:right="24"/>
              <w:rPr>
                <w:rFonts w:ascii="Arial" w:eastAsia="Arial" w:hAnsi="Arial" w:cs="Arial"/>
                <w:sz w:val="20"/>
                <w:szCs w:val="20"/>
              </w:rPr>
            </w:pPr>
          </w:p>
          <w:p w14:paraId="00000164" w14:textId="77777777" w:rsidR="00ED50B6" w:rsidRDefault="00ED50B6">
            <w:pPr>
              <w:spacing w:before="40" w:after="40" w:line="259" w:lineRule="auto"/>
              <w:ind w:right="24"/>
              <w:rPr>
                <w:rFonts w:ascii="Arial" w:eastAsia="Arial" w:hAnsi="Arial" w:cs="Arial"/>
                <w:sz w:val="20"/>
                <w:szCs w:val="20"/>
              </w:rPr>
            </w:pPr>
          </w:p>
          <w:p w14:paraId="00000165" w14:textId="77777777" w:rsidR="00ED50B6" w:rsidRDefault="00ED50B6">
            <w:pPr>
              <w:spacing w:before="40" w:after="40" w:line="259" w:lineRule="auto"/>
              <w:ind w:right="24"/>
              <w:rPr>
                <w:rFonts w:ascii="Arial" w:eastAsia="Arial" w:hAnsi="Arial" w:cs="Arial"/>
                <w:sz w:val="20"/>
                <w:szCs w:val="20"/>
              </w:rPr>
            </w:pPr>
          </w:p>
          <w:p w14:paraId="00000166" w14:textId="77777777" w:rsidR="00ED50B6" w:rsidRDefault="00ED50B6">
            <w:pPr>
              <w:spacing w:before="40" w:after="40" w:line="259" w:lineRule="auto"/>
              <w:ind w:right="24"/>
              <w:rPr>
                <w:rFonts w:ascii="Arial" w:eastAsia="Arial" w:hAnsi="Arial" w:cs="Arial"/>
                <w:sz w:val="20"/>
                <w:szCs w:val="20"/>
              </w:rPr>
            </w:pPr>
          </w:p>
          <w:p w14:paraId="00000167" w14:textId="77777777" w:rsidR="00ED50B6" w:rsidRDefault="00ED50B6">
            <w:pPr>
              <w:spacing w:before="40" w:after="40" w:line="259" w:lineRule="auto"/>
              <w:ind w:right="24"/>
              <w:rPr>
                <w:rFonts w:ascii="Arial" w:eastAsia="Arial" w:hAnsi="Arial" w:cs="Arial"/>
                <w:sz w:val="20"/>
                <w:szCs w:val="20"/>
              </w:rPr>
            </w:pPr>
          </w:p>
        </w:tc>
      </w:tr>
      <w:tr w:rsidR="00ED50B6" w14:paraId="2290D99C" w14:textId="77777777">
        <w:trPr>
          <w:trHeight w:val="629"/>
        </w:trPr>
        <w:tc>
          <w:tcPr>
            <w:tcW w:w="1373" w:type="dxa"/>
            <w:gridSpan w:val="3"/>
            <w:tcBorders>
              <w:top w:val="single" w:sz="6" w:space="0" w:color="000000"/>
              <w:left w:val="single" w:sz="6" w:space="0" w:color="000000"/>
              <w:bottom w:val="single" w:sz="6" w:space="0" w:color="000000"/>
              <w:right w:val="single" w:sz="6" w:space="0" w:color="000000"/>
            </w:tcBorders>
            <w:shd w:val="clear" w:color="auto" w:fill="DADADB"/>
            <w:tcMar>
              <w:right w:w="0" w:type="dxa"/>
            </w:tcMar>
            <w:vAlign w:val="center"/>
          </w:tcPr>
          <w:p w14:paraId="0000016E" w14:textId="77777777" w:rsidR="00ED50B6" w:rsidRDefault="00000000">
            <w:pPr>
              <w:spacing w:before="40" w:after="40" w:line="259" w:lineRule="auto"/>
              <w:ind w:left="99"/>
              <w:rPr>
                <w:rFonts w:ascii="Arial" w:eastAsia="Arial" w:hAnsi="Arial" w:cs="Arial"/>
              </w:rPr>
            </w:pPr>
            <w:r>
              <w:rPr>
                <w:rFonts w:ascii="Arial" w:eastAsia="Arial" w:hAnsi="Arial" w:cs="Arial"/>
                <w:b/>
                <w:sz w:val="20"/>
                <w:szCs w:val="20"/>
              </w:rPr>
              <w:t xml:space="preserve">RESP-4 </w:t>
            </w:r>
          </w:p>
        </w:tc>
        <w:tc>
          <w:tcPr>
            <w:tcW w:w="6547" w:type="dxa"/>
            <w:gridSpan w:val="2"/>
            <w:tcBorders>
              <w:top w:val="single" w:sz="6" w:space="0" w:color="000000"/>
              <w:left w:val="single" w:sz="6" w:space="0" w:color="000000"/>
              <w:bottom w:val="single" w:sz="6" w:space="0" w:color="000000"/>
              <w:right w:val="single" w:sz="6" w:space="0" w:color="000000"/>
            </w:tcBorders>
            <w:tcMar>
              <w:right w:w="0" w:type="dxa"/>
            </w:tcMar>
            <w:vAlign w:val="center"/>
          </w:tcPr>
          <w:p w14:paraId="00000171" w14:textId="77777777" w:rsidR="00ED50B6" w:rsidRDefault="00000000">
            <w:pPr>
              <w:spacing w:before="40" w:after="40" w:line="259" w:lineRule="auto"/>
              <w:ind w:left="100"/>
              <w:rPr>
                <w:rFonts w:ascii="Arial" w:eastAsia="Arial" w:hAnsi="Arial" w:cs="Arial"/>
                <w:sz w:val="20"/>
                <w:szCs w:val="20"/>
              </w:rPr>
            </w:pPr>
            <w:r>
              <w:rPr>
                <w:rFonts w:ascii="Arial" w:eastAsia="Arial" w:hAnsi="Arial" w:cs="Arial"/>
                <w:sz w:val="20"/>
                <w:szCs w:val="20"/>
              </w:rPr>
              <w:t>Redundant and reliable means to timely disseminate 24-hour official tsunami alerts to the public are in place</w:t>
            </w:r>
          </w:p>
        </w:tc>
        <w:tc>
          <w:tcPr>
            <w:tcW w:w="1131" w:type="dxa"/>
            <w:tcBorders>
              <w:top w:val="single" w:sz="6" w:space="0" w:color="000000"/>
              <w:left w:val="single" w:sz="6" w:space="0" w:color="000000"/>
              <w:bottom w:val="single" w:sz="6" w:space="0" w:color="000000"/>
              <w:right w:val="single" w:sz="6" w:space="0" w:color="000000"/>
            </w:tcBorders>
            <w:shd w:val="clear" w:color="auto" w:fill="E0E0E1"/>
            <w:tcMar>
              <w:right w:w="0" w:type="dxa"/>
            </w:tcMar>
            <w:vAlign w:val="center"/>
          </w:tcPr>
          <w:p w14:paraId="00000174" w14:textId="77777777" w:rsidR="00ED50B6" w:rsidRDefault="00ED50B6">
            <w:pPr>
              <w:spacing w:before="40" w:after="40" w:line="259" w:lineRule="auto"/>
              <w:ind w:left="-10142" w:right="946"/>
              <w:rPr>
                <w:rFonts w:ascii="Arial" w:eastAsia="Arial" w:hAnsi="Arial" w:cs="Arial"/>
              </w:rPr>
            </w:pPr>
          </w:p>
          <w:p w14:paraId="00000175" w14:textId="77777777" w:rsidR="00ED50B6" w:rsidRDefault="00000000">
            <w:pPr>
              <w:spacing w:before="40" w:after="40" w:line="259" w:lineRule="auto"/>
              <w:rPr>
                <w:rFonts w:ascii="Arial" w:eastAsia="Arial" w:hAnsi="Arial" w:cs="Arial"/>
              </w:rPr>
            </w:pPr>
            <w:r>
              <w:rPr>
                <w:rFonts w:ascii="Arial" w:eastAsia="Arial" w:hAnsi="Arial" w:cs="Arial"/>
                <w:sz w:val="20"/>
                <w:szCs w:val="20"/>
              </w:rPr>
              <w:t xml:space="preserve">Verified </w:t>
            </w:r>
            <w:r>
              <w:rPr>
                <w:noProof/>
              </w:rPr>
              <w:drawing>
                <wp:anchor distT="0" distB="0" distL="114300" distR="114300" simplePos="0" relativeHeight="251674624" behindDoc="0" locked="0" layoutInCell="1" hidden="0" allowOverlap="1" wp14:anchorId="07AD0DCD" wp14:editId="14F71AD6">
                  <wp:simplePos x="0" y="0"/>
                  <wp:positionH relativeFrom="column">
                    <wp:posOffset>-189864</wp:posOffset>
                  </wp:positionH>
                  <wp:positionV relativeFrom="paragraph">
                    <wp:posOffset>38735</wp:posOffset>
                  </wp:positionV>
                  <wp:extent cx="127635" cy="127635"/>
                  <wp:effectExtent l="0" t="0" r="0" b="0"/>
                  <wp:wrapSquare wrapText="bothSides" distT="0" distB="0" distL="114300" distR="114300"/>
                  <wp:docPr id="2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7635" cy="127635"/>
                          </a:xfrm>
                          <a:prstGeom prst="rect">
                            <a:avLst/>
                          </a:prstGeom>
                          <a:ln/>
                        </pic:spPr>
                      </pic:pic>
                    </a:graphicData>
                  </a:graphic>
                </wp:anchor>
              </w:drawing>
            </w:r>
          </w:p>
        </w:tc>
      </w:tr>
      <w:tr w:rsidR="00ED50B6" w14:paraId="29F8F91C" w14:textId="77777777">
        <w:trPr>
          <w:trHeight w:val="80"/>
        </w:trPr>
        <w:tc>
          <w:tcPr>
            <w:tcW w:w="9051" w:type="dxa"/>
            <w:gridSpan w:val="6"/>
            <w:tcBorders>
              <w:top w:val="single" w:sz="6" w:space="0" w:color="000000"/>
              <w:left w:val="single" w:sz="6" w:space="0" w:color="000000"/>
              <w:bottom w:val="single" w:sz="4" w:space="0" w:color="000000"/>
              <w:right w:val="single" w:sz="6" w:space="0" w:color="000000"/>
            </w:tcBorders>
            <w:shd w:val="clear" w:color="auto" w:fill="EDEDED"/>
            <w:tcMar>
              <w:right w:w="0" w:type="dxa"/>
            </w:tcMar>
          </w:tcPr>
          <w:p w14:paraId="00000176" w14:textId="77777777" w:rsidR="00ED50B6" w:rsidRDefault="00000000">
            <w:pPr>
              <w:spacing w:line="259" w:lineRule="auto"/>
              <w:rPr>
                <w:rFonts w:ascii="Arial" w:eastAsia="Arial" w:hAnsi="Arial" w:cs="Arial"/>
                <w:sz w:val="18"/>
                <w:szCs w:val="18"/>
              </w:rPr>
            </w:pPr>
            <w:r>
              <w:rPr>
                <w:rFonts w:ascii="Arial" w:eastAsia="Arial" w:hAnsi="Arial" w:cs="Arial"/>
                <w:sz w:val="18"/>
                <w:szCs w:val="18"/>
              </w:rPr>
              <w:t>How does the community (quantitatively or qualitatively) further disseminate or communicate tsunami alerts to individuals?</w:t>
            </w:r>
          </w:p>
          <w:p w14:paraId="00000177" w14:textId="77777777" w:rsidR="00ED50B6" w:rsidRDefault="00ED50B6">
            <w:pPr>
              <w:spacing w:before="40" w:after="40" w:line="259" w:lineRule="auto"/>
              <w:ind w:left="7"/>
              <w:rPr>
                <w:rFonts w:ascii="Arial" w:eastAsia="Arial" w:hAnsi="Arial" w:cs="Arial"/>
                <w:sz w:val="18"/>
                <w:szCs w:val="18"/>
              </w:rPr>
            </w:pPr>
          </w:p>
          <w:p w14:paraId="00000178" w14:textId="77777777" w:rsidR="00ED50B6" w:rsidRDefault="00ED50B6">
            <w:pPr>
              <w:spacing w:line="259" w:lineRule="auto"/>
              <w:ind w:left="80" w:right="7893"/>
              <w:rPr>
                <w:rFonts w:ascii="Arial" w:eastAsia="Arial" w:hAnsi="Arial" w:cs="Arial"/>
              </w:rPr>
            </w:pPr>
          </w:p>
          <w:p w14:paraId="00000179" w14:textId="77777777" w:rsidR="00ED50B6" w:rsidRDefault="00ED50B6">
            <w:pPr>
              <w:spacing w:line="259" w:lineRule="auto"/>
              <w:ind w:left="80" w:right="7893"/>
              <w:rPr>
                <w:rFonts w:ascii="Arial" w:eastAsia="Arial" w:hAnsi="Arial" w:cs="Arial"/>
              </w:rPr>
            </w:pPr>
          </w:p>
          <w:p w14:paraId="0000017A" w14:textId="77777777" w:rsidR="00ED50B6" w:rsidRDefault="00ED50B6">
            <w:pPr>
              <w:spacing w:line="259" w:lineRule="auto"/>
              <w:ind w:right="7893"/>
              <w:rPr>
                <w:rFonts w:ascii="Arial" w:eastAsia="Arial" w:hAnsi="Arial" w:cs="Arial"/>
              </w:rPr>
            </w:pPr>
          </w:p>
          <w:p w14:paraId="0000017B" w14:textId="77777777" w:rsidR="00ED50B6" w:rsidRDefault="00ED50B6">
            <w:pPr>
              <w:spacing w:line="259" w:lineRule="auto"/>
              <w:ind w:left="80" w:right="7893"/>
              <w:rPr>
                <w:rFonts w:ascii="Arial" w:eastAsia="Arial" w:hAnsi="Arial" w:cs="Arial"/>
              </w:rPr>
            </w:pPr>
          </w:p>
          <w:p w14:paraId="0000017C" w14:textId="77777777" w:rsidR="00ED50B6" w:rsidRDefault="00ED50B6">
            <w:pPr>
              <w:spacing w:line="259" w:lineRule="auto"/>
              <w:ind w:left="80" w:right="7893"/>
              <w:rPr>
                <w:rFonts w:ascii="Arial" w:eastAsia="Arial" w:hAnsi="Arial" w:cs="Arial"/>
              </w:rPr>
            </w:pPr>
          </w:p>
          <w:p w14:paraId="0000017D" w14:textId="77777777" w:rsidR="00ED50B6" w:rsidRDefault="00ED50B6">
            <w:pPr>
              <w:spacing w:line="259" w:lineRule="auto"/>
              <w:ind w:left="80" w:right="7893"/>
              <w:rPr>
                <w:rFonts w:ascii="Arial" w:eastAsia="Arial" w:hAnsi="Arial" w:cs="Arial"/>
              </w:rPr>
            </w:pPr>
          </w:p>
          <w:p w14:paraId="0000017E" w14:textId="77777777" w:rsidR="00ED50B6" w:rsidRDefault="00ED50B6">
            <w:pPr>
              <w:spacing w:line="259" w:lineRule="auto"/>
              <w:ind w:right="7893"/>
              <w:rPr>
                <w:rFonts w:ascii="Arial" w:eastAsia="Arial" w:hAnsi="Arial" w:cs="Arial"/>
              </w:rPr>
            </w:pPr>
          </w:p>
        </w:tc>
      </w:tr>
    </w:tbl>
    <w:p w14:paraId="00000185" w14:textId="77777777" w:rsidR="00ED50B6" w:rsidRDefault="00ED50B6">
      <w:pPr>
        <w:pBdr>
          <w:bottom w:val="single" w:sz="4" w:space="1" w:color="000000"/>
        </w:pBdr>
        <w:rPr>
          <w:rFonts w:ascii="Arial" w:eastAsia="Arial" w:hAnsi="Arial" w:cs="Arial"/>
          <w:b/>
          <w:color w:val="4472C4"/>
        </w:rPr>
      </w:pPr>
    </w:p>
    <w:sectPr w:rsidR="00ED50B6">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shleigh Fromont" w:date="2024-09-06T03:05:00Z" w:initials="">
    <w:p w14:paraId="0000018B" w14:textId="77777777" w:rsidR="00ED50B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Final term open to discussion</w:t>
      </w:r>
    </w:p>
  </w:comment>
  <w:comment w:id="2" w:author="Ashleigh Fromont" w:date="2024-09-06T03:04:00Z" w:initials="">
    <w:p w14:paraId="0000018A" w14:textId="77777777" w:rsidR="00ED50B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future drafts, these could be expanded on in a similar manner to the TRRP implementation conditions in MG74? (pages 9 &amp; 10)</w:t>
      </w:r>
    </w:p>
  </w:comment>
  <w:comment w:id="3" w:author="Ashleigh Fromont" w:date="2024-09-06T02:54:00Z" w:initials="">
    <w:p w14:paraId="0000018C" w14:textId="77777777" w:rsidR="00ED50B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to glossary</w:t>
      </w:r>
    </w:p>
  </w:comment>
  <w:comment w:id="4" w:author="Ashleigh Fromont" w:date="2024-09-06T02:50:00Z" w:initials="">
    <w:p w14:paraId="00000189" w14:textId="77777777" w:rsidR="00ED50B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Appropriate terms will be added closer to the finalizing of the draft.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8B" w15:done="0"/>
  <w15:commentEx w15:paraId="0000018A" w15:done="0"/>
  <w15:commentEx w15:paraId="0000018C" w15:done="0"/>
  <w15:commentEx w15:paraId="00000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8B" w16cid:durableId="0000018B"/>
  <w16cid:commentId w16cid:paraId="0000018A" w16cid:durableId="0000018A"/>
  <w16cid:commentId w16cid:paraId="0000018C" w16cid:durableId="0000018C"/>
  <w16cid:commentId w16cid:paraId="00000189" w16cid:durableId="00000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CBD8C" w14:textId="77777777" w:rsidR="009F76DF" w:rsidRDefault="009F76DF">
      <w:r>
        <w:separator/>
      </w:r>
    </w:p>
  </w:endnote>
  <w:endnote w:type="continuationSeparator" w:id="0">
    <w:p w14:paraId="6A79C632" w14:textId="77777777" w:rsidR="009F76DF" w:rsidRDefault="009F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2B65AE-AA70-45A0-8D07-D1D672E483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362E6690-9822-4080-B50E-C6E06D6E38C8}"/>
    <w:embedBold r:id="rId3" w:fontKey="{D629357F-7A19-466A-BC63-04A4DEE7B105}"/>
    <w:embedItalic r:id="rId4" w:fontKey="{7D1FA36C-FA2E-4501-86C2-79B90698512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5" w:fontKey="{9AB7BCA0-5B48-4937-AE4E-6F37B38562CB}"/>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auto"/>
    <w:pitch w:val="default"/>
    <w:embedRegular r:id="rId6" w:fontKey="{D3A88D12-0941-476E-8897-DEDF28EE543A}"/>
    <w:embedItalic r:id="rId7" w:fontKey="{DC3F17C0-2758-48B9-AE6E-3428E90576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ED8A6" w14:textId="77777777" w:rsidR="009F76DF" w:rsidRDefault="009F76DF">
      <w:r>
        <w:separator/>
      </w:r>
    </w:p>
  </w:footnote>
  <w:footnote w:type="continuationSeparator" w:id="0">
    <w:p w14:paraId="4D1A44AC" w14:textId="77777777" w:rsidR="009F76DF" w:rsidRDefault="009F76DF">
      <w:r>
        <w:continuationSeparator/>
      </w:r>
    </w:p>
  </w:footnote>
  <w:footnote w:id="1">
    <w:p w14:paraId="00000186" w14:textId="77777777" w:rsidR="00ED50B6" w:rsidRDefault="00000000">
      <w:pPr>
        <w:pBdr>
          <w:top w:val="nil"/>
          <w:left w:val="nil"/>
          <w:bottom w:val="nil"/>
          <w:right w:val="nil"/>
          <w:between w:val="nil"/>
        </w:pBdr>
        <w:tabs>
          <w:tab w:val="left" w:pos="180"/>
        </w:tabs>
        <w:spacing w:before="120"/>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ab/>
        <w:t>The Munich Re Group. Annual Review: Natural Catastrophes 2004, Knowledge Series, Topics Geo, 2005, 60 p.</w:t>
      </w:r>
    </w:p>
  </w:footnote>
  <w:footnote w:id="2">
    <w:p w14:paraId="00000187" w14:textId="77777777" w:rsidR="00ED50B6" w:rsidRDefault="00000000">
      <w:pPr>
        <w:pBdr>
          <w:top w:val="nil"/>
          <w:left w:val="nil"/>
          <w:bottom w:val="nil"/>
          <w:right w:val="nil"/>
          <w:between w:val="nil"/>
        </w:pBdr>
        <w:tabs>
          <w:tab w:val="left" w:pos="180"/>
        </w:tabs>
        <w:rPr>
          <w:rFonts w:ascii="Calibri" w:eastAsia="Calibri" w:hAnsi="Calibri" w:cs="Calibri"/>
          <w:color w:val="000000"/>
        </w:rPr>
      </w:pPr>
      <w:r>
        <w:rPr>
          <w:rStyle w:val="FootnoteReference"/>
        </w:rPr>
        <w:footnoteRef/>
      </w:r>
      <w:r>
        <w:rPr>
          <w:rFonts w:ascii="Calibri" w:eastAsia="Calibri" w:hAnsi="Calibri" w:cs="Calibri"/>
          <w:color w:val="000000"/>
        </w:rPr>
        <w:t xml:space="preserve"> </w:t>
      </w:r>
      <w:r>
        <w:rPr>
          <w:rFonts w:ascii="Calibri" w:eastAsia="Calibri" w:hAnsi="Calibri" w:cs="Calibri"/>
          <w:color w:val="000000"/>
        </w:rPr>
        <w:tab/>
      </w:r>
      <w:r>
        <w:rPr>
          <w:rFonts w:ascii="Arial" w:eastAsia="Arial" w:hAnsi="Arial" w:cs="Arial"/>
          <w:color w:val="000000"/>
          <w:sz w:val="18"/>
          <w:szCs w:val="18"/>
        </w:rPr>
        <w:t>IFRC, 2013.</w:t>
      </w:r>
    </w:p>
  </w:footnote>
  <w:footnote w:id="3">
    <w:p w14:paraId="00000188" w14:textId="77777777" w:rsidR="00ED50B6" w:rsidRDefault="00000000">
      <w:pPr>
        <w:pBdr>
          <w:top w:val="nil"/>
          <w:left w:val="nil"/>
          <w:bottom w:val="nil"/>
          <w:right w:val="nil"/>
          <w:between w:val="nil"/>
        </w:pBdr>
        <w:tabs>
          <w:tab w:val="left" w:pos="180"/>
        </w:tabs>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w:t>
      </w:r>
      <w:r>
        <w:rPr>
          <w:rFonts w:ascii="Arial" w:eastAsia="Arial" w:hAnsi="Arial" w:cs="Arial"/>
          <w:color w:val="000000"/>
          <w:sz w:val="18"/>
          <w:szCs w:val="18"/>
        </w:rPr>
        <w:tab/>
        <w:t xml:space="preserve">See more about the UNESCO/IOC here: </w:t>
      </w:r>
      <w:hyperlink r:id="rId1">
        <w:r>
          <w:rPr>
            <w:rFonts w:ascii="Arial" w:eastAsia="Arial" w:hAnsi="Arial" w:cs="Arial"/>
            <w:color w:val="0563C1"/>
            <w:sz w:val="18"/>
            <w:szCs w:val="18"/>
            <w:u w:val="single"/>
          </w:rPr>
          <w:t>http://www.ioc-tsunami.org</w:t>
        </w:r>
      </w:hyperlink>
      <w:r>
        <w:rPr>
          <w:rFonts w:ascii="Arial" w:eastAsia="Arial" w:hAnsi="Arial" w:cs="Arial"/>
          <w:color w:val="000000"/>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42B42"/>
    <w:multiLevelType w:val="multilevel"/>
    <w:tmpl w:val="9CEC71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25C1199"/>
    <w:multiLevelType w:val="multilevel"/>
    <w:tmpl w:val="89C28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2F5CCB"/>
    <w:multiLevelType w:val="multilevel"/>
    <w:tmpl w:val="4FEC7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CF54EC"/>
    <w:multiLevelType w:val="multilevel"/>
    <w:tmpl w:val="30D25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DE5B5A"/>
    <w:multiLevelType w:val="multilevel"/>
    <w:tmpl w:val="D0F4B7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EEC7CC3"/>
    <w:multiLevelType w:val="multilevel"/>
    <w:tmpl w:val="122A21F8"/>
    <w:lvl w:ilvl="0">
      <w:start w:val="1"/>
      <w:numFmt w:val="decimal"/>
      <w:lvlText w:val="%1"/>
      <w:lvlJc w:val="left"/>
      <w:pPr>
        <w:ind w:left="432" w:hanging="432"/>
      </w:pPr>
      <w:rPr>
        <w:b/>
      </w:rPr>
    </w:lvl>
    <w:lvl w:ilvl="1">
      <w:start w:val="1"/>
      <w:numFmt w:val="decimal"/>
      <w:lvlText w:val="%1.%2"/>
      <w:lvlJc w:val="left"/>
      <w:pPr>
        <w:ind w:left="1002" w:hanging="576"/>
      </w:pPr>
    </w:lvl>
    <w:lvl w:ilvl="2">
      <w:start w:val="1"/>
      <w:numFmt w:val="decimal"/>
      <w:lvlText w:val="%1.%2.%3"/>
      <w:lvlJc w:val="left"/>
      <w:pPr>
        <w:ind w:left="4548" w:hanging="720"/>
      </w:pPr>
      <w:rPr>
        <w:rFonts w:ascii="Arial" w:eastAsia="Arial" w:hAnsi="Arial" w:cs="Arial"/>
        <w:color w:val="4472C4"/>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C462F43"/>
    <w:multiLevelType w:val="multilevel"/>
    <w:tmpl w:val="C750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CA7701"/>
    <w:multiLevelType w:val="multilevel"/>
    <w:tmpl w:val="87C6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5C1B67"/>
    <w:multiLevelType w:val="multilevel"/>
    <w:tmpl w:val="D14A9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26571841">
    <w:abstractNumId w:val="4"/>
  </w:num>
  <w:num w:numId="2" w16cid:durableId="1544170117">
    <w:abstractNumId w:val="1"/>
  </w:num>
  <w:num w:numId="3" w16cid:durableId="180434149">
    <w:abstractNumId w:val="3"/>
  </w:num>
  <w:num w:numId="4" w16cid:durableId="723139172">
    <w:abstractNumId w:val="7"/>
  </w:num>
  <w:num w:numId="5" w16cid:durableId="124126562">
    <w:abstractNumId w:val="2"/>
  </w:num>
  <w:num w:numId="6" w16cid:durableId="298149481">
    <w:abstractNumId w:val="6"/>
  </w:num>
  <w:num w:numId="7" w16cid:durableId="70153613">
    <w:abstractNumId w:val="8"/>
  </w:num>
  <w:num w:numId="8" w16cid:durableId="1881436848">
    <w:abstractNumId w:val="5"/>
  </w:num>
  <w:num w:numId="9" w16cid:durableId="339356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B6"/>
    <w:rsid w:val="003D13DE"/>
    <w:rsid w:val="004269E5"/>
    <w:rsid w:val="009F76DF"/>
    <w:rsid w:val="00ED50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7AC17-7F94-40F3-84DE-746A911E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93B"/>
  </w:style>
  <w:style w:type="paragraph" w:styleId="Heading1">
    <w:name w:val="heading 1"/>
    <w:basedOn w:val="Normal"/>
    <w:next w:val="Normal"/>
    <w:link w:val="Heading1Char"/>
    <w:uiPriority w:val="9"/>
    <w:qFormat/>
    <w:rsid w:val="000E393B"/>
    <w:pPr>
      <w:keepNext/>
      <w:numPr>
        <w:numId w:val="9"/>
      </w:numPr>
      <w:spacing w:before="360" w:after="240"/>
      <w:outlineLvl w:val="0"/>
    </w:pPr>
    <w:rPr>
      <w:rFonts w:cs="Arial"/>
      <w:b/>
      <w:bCs/>
      <w:kern w:val="32"/>
      <w:szCs w:val="32"/>
    </w:rPr>
  </w:style>
  <w:style w:type="paragraph" w:styleId="Heading2">
    <w:name w:val="heading 2"/>
    <w:basedOn w:val="Normal"/>
    <w:next w:val="Normal"/>
    <w:link w:val="Heading2Char"/>
    <w:uiPriority w:val="9"/>
    <w:unhideWhenUsed/>
    <w:qFormat/>
    <w:rsid w:val="000E393B"/>
    <w:pPr>
      <w:keepNext/>
      <w:keepLines/>
      <w:numPr>
        <w:ilvl w:val="1"/>
        <w:numId w:val="9"/>
      </w:numPr>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E393B"/>
    <w:pPr>
      <w:keepNext/>
      <w:keepLines/>
      <w:numPr>
        <w:ilvl w:val="2"/>
        <w:numId w:val="9"/>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0E393B"/>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393B"/>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393B"/>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393B"/>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393B"/>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93B"/>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0E393B"/>
    <w:rPr>
      <w:rFonts w:ascii="Times New Roman" w:eastAsia="Times New Roman" w:hAnsi="Times New Roman" w:cs="Arial"/>
      <w:b/>
      <w:bCs/>
      <w:kern w:val="32"/>
      <w:sz w:val="24"/>
      <w:szCs w:val="32"/>
      <w:lang w:val="en-US"/>
    </w:rPr>
  </w:style>
  <w:style w:type="character" w:customStyle="1" w:styleId="Heading2Char">
    <w:name w:val="Heading 2 Char"/>
    <w:basedOn w:val="DefaultParagraphFont"/>
    <w:link w:val="Heading2"/>
    <w:uiPriority w:val="9"/>
    <w:rsid w:val="000E393B"/>
    <w:rPr>
      <w:rFonts w:asciiTheme="majorHAnsi" w:eastAsiaTheme="majorEastAsia" w:hAnsiTheme="majorHAnsi" w:cstheme="majorBidi"/>
      <w:b/>
      <w:bCs/>
      <w:color w:val="4472C4" w:themeColor="accent1"/>
      <w:kern w:val="0"/>
      <w:sz w:val="26"/>
      <w:szCs w:val="26"/>
      <w:lang w:val="en-US"/>
    </w:rPr>
  </w:style>
  <w:style w:type="character" w:customStyle="1" w:styleId="Heading3Char">
    <w:name w:val="Heading 3 Char"/>
    <w:basedOn w:val="DefaultParagraphFont"/>
    <w:link w:val="Heading3"/>
    <w:uiPriority w:val="9"/>
    <w:rsid w:val="000E393B"/>
    <w:rPr>
      <w:rFonts w:asciiTheme="majorHAnsi" w:eastAsiaTheme="majorEastAsia" w:hAnsiTheme="majorHAnsi" w:cstheme="majorBidi"/>
      <w:b/>
      <w:bCs/>
      <w:color w:val="4472C4" w:themeColor="accent1"/>
      <w:kern w:val="0"/>
      <w:sz w:val="24"/>
      <w:szCs w:val="24"/>
      <w:lang w:val="en-US"/>
    </w:rPr>
  </w:style>
  <w:style w:type="character" w:customStyle="1" w:styleId="Heading4Char">
    <w:name w:val="Heading 4 Char"/>
    <w:basedOn w:val="DefaultParagraphFont"/>
    <w:link w:val="Heading4"/>
    <w:uiPriority w:val="9"/>
    <w:semiHidden/>
    <w:rsid w:val="000E393B"/>
    <w:rPr>
      <w:rFonts w:asciiTheme="majorHAnsi" w:eastAsiaTheme="majorEastAsia" w:hAnsiTheme="majorHAnsi" w:cstheme="majorBidi"/>
      <w:i/>
      <w:iCs/>
      <w:color w:val="2F5496" w:themeColor="accent1" w:themeShade="BF"/>
      <w:kern w:val="0"/>
      <w:sz w:val="24"/>
      <w:szCs w:val="24"/>
      <w:lang w:val="en-US"/>
    </w:rPr>
  </w:style>
  <w:style w:type="character" w:customStyle="1" w:styleId="Heading5Char">
    <w:name w:val="Heading 5 Char"/>
    <w:basedOn w:val="DefaultParagraphFont"/>
    <w:link w:val="Heading5"/>
    <w:uiPriority w:val="9"/>
    <w:semiHidden/>
    <w:rsid w:val="000E393B"/>
    <w:rPr>
      <w:rFonts w:asciiTheme="majorHAnsi" w:eastAsiaTheme="majorEastAsia" w:hAnsiTheme="majorHAnsi" w:cstheme="majorBidi"/>
      <w:color w:val="2F5496" w:themeColor="accent1" w:themeShade="BF"/>
      <w:kern w:val="0"/>
      <w:sz w:val="24"/>
      <w:szCs w:val="24"/>
      <w:lang w:val="en-US"/>
    </w:rPr>
  </w:style>
  <w:style w:type="character" w:customStyle="1" w:styleId="Heading6Char">
    <w:name w:val="Heading 6 Char"/>
    <w:basedOn w:val="DefaultParagraphFont"/>
    <w:link w:val="Heading6"/>
    <w:uiPriority w:val="9"/>
    <w:semiHidden/>
    <w:rsid w:val="000E393B"/>
    <w:rPr>
      <w:rFonts w:asciiTheme="majorHAnsi" w:eastAsiaTheme="majorEastAsia" w:hAnsiTheme="majorHAnsi" w:cstheme="majorBidi"/>
      <w:color w:val="1F3763" w:themeColor="accent1" w:themeShade="7F"/>
      <w:kern w:val="0"/>
      <w:sz w:val="24"/>
      <w:szCs w:val="24"/>
      <w:lang w:val="en-US"/>
    </w:rPr>
  </w:style>
  <w:style w:type="character" w:customStyle="1" w:styleId="Heading7Char">
    <w:name w:val="Heading 7 Char"/>
    <w:basedOn w:val="DefaultParagraphFont"/>
    <w:link w:val="Heading7"/>
    <w:uiPriority w:val="9"/>
    <w:semiHidden/>
    <w:rsid w:val="000E393B"/>
    <w:rPr>
      <w:rFonts w:asciiTheme="majorHAnsi" w:eastAsiaTheme="majorEastAsia" w:hAnsiTheme="majorHAnsi" w:cstheme="majorBidi"/>
      <w:i/>
      <w:iCs/>
      <w:color w:val="1F3763" w:themeColor="accent1" w:themeShade="7F"/>
      <w:kern w:val="0"/>
      <w:sz w:val="24"/>
      <w:szCs w:val="24"/>
      <w:lang w:val="en-US"/>
    </w:rPr>
  </w:style>
  <w:style w:type="character" w:customStyle="1" w:styleId="Heading8Char">
    <w:name w:val="Heading 8 Char"/>
    <w:basedOn w:val="DefaultParagraphFont"/>
    <w:link w:val="Heading8"/>
    <w:uiPriority w:val="9"/>
    <w:semiHidden/>
    <w:rsid w:val="000E393B"/>
    <w:rPr>
      <w:rFonts w:asciiTheme="majorHAnsi" w:eastAsiaTheme="majorEastAsia" w:hAnsiTheme="majorHAnsi" w:cstheme="majorBidi"/>
      <w:color w:val="272727" w:themeColor="text1" w:themeTint="D8"/>
      <w:kern w:val="0"/>
      <w:sz w:val="21"/>
      <w:szCs w:val="21"/>
      <w:lang w:val="en-US"/>
    </w:rPr>
  </w:style>
  <w:style w:type="character" w:customStyle="1" w:styleId="Heading9Char">
    <w:name w:val="Heading 9 Char"/>
    <w:basedOn w:val="DefaultParagraphFont"/>
    <w:link w:val="Heading9"/>
    <w:uiPriority w:val="9"/>
    <w:semiHidden/>
    <w:rsid w:val="000E393B"/>
    <w:rPr>
      <w:rFonts w:asciiTheme="majorHAnsi" w:eastAsiaTheme="majorEastAsia" w:hAnsiTheme="majorHAnsi" w:cstheme="majorBidi"/>
      <w:i/>
      <w:iCs/>
      <w:color w:val="272727" w:themeColor="text1" w:themeTint="D8"/>
      <w:kern w:val="0"/>
      <w:sz w:val="21"/>
      <w:szCs w:val="21"/>
      <w:lang w:val="en-US"/>
    </w:rPr>
  </w:style>
  <w:style w:type="paragraph" w:styleId="BodyText2">
    <w:name w:val="Body Text 2"/>
    <w:basedOn w:val="Normal"/>
    <w:link w:val="BodyText2Char"/>
    <w:uiPriority w:val="99"/>
    <w:rsid w:val="000E393B"/>
    <w:pPr>
      <w:spacing w:after="120" w:line="480" w:lineRule="auto"/>
    </w:pPr>
    <w:rPr>
      <w:lang w:val="en-AU" w:eastAsia="en-AU"/>
    </w:rPr>
  </w:style>
  <w:style w:type="character" w:customStyle="1" w:styleId="BodyText2Char">
    <w:name w:val="Body Text 2 Char"/>
    <w:basedOn w:val="DefaultParagraphFont"/>
    <w:link w:val="BodyText2"/>
    <w:uiPriority w:val="99"/>
    <w:rsid w:val="000E393B"/>
    <w:rPr>
      <w:rFonts w:ascii="Times New Roman" w:eastAsia="Times New Roman" w:hAnsi="Times New Roman" w:cs="Times New Roman"/>
      <w:kern w:val="0"/>
      <w:sz w:val="24"/>
      <w:szCs w:val="24"/>
      <w:lang w:val="en-AU" w:eastAsia="en-AU"/>
    </w:rPr>
  </w:style>
  <w:style w:type="paragraph" w:styleId="FootnoteText">
    <w:name w:val="footnote text"/>
    <w:basedOn w:val="Normal"/>
    <w:link w:val="FootnoteTextChar"/>
    <w:uiPriority w:val="99"/>
    <w:unhideWhenUsed/>
    <w:rsid w:val="000E393B"/>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0E393B"/>
    <w:rPr>
      <w:rFonts w:eastAsiaTheme="minorEastAsia"/>
      <w:kern w:val="0"/>
      <w:sz w:val="24"/>
      <w:szCs w:val="24"/>
      <w:lang w:val="en-US"/>
    </w:rPr>
  </w:style>
  <w:style w:type="character" w:styleId="FootnoteReference">
    <w:name w:val="footnote reference"/>
    <w:basedOn w:val="DefaultParagraphFont"/>
    <w:uiPriority w:val="99"/>
    <w:unhideWhenUsed/>
    <w:rsid w:val="000E393B"/>
    <w:rPr>
      <w:vertAlign w:val="superscript"/>
    </w:rPr>
  </w:style>
  <w:style w:type="character" w:styleId="Hyperlink">
    <w:name w:val="Hyperlink"/>
    <w:basedOn w:val="DefaultParagraphFont"/>
    <w:uiPriority w:val="99"/>
    <w:unhideWhenUsed/>
    <w:rsid w:val="000E393B"/>
    <w:rPr>
      <w:color w:val="0563C1" w:themeColor="hyperlink"/>
      <w:u w:val="single"/>
    </w:rPr>
  </w:style>
  <w:style w:type="character" w:styleId="CommentReference">
    <w:name w:val="annotation reference"/>
    <w:basedOn w:val="DefaultParagraphFont"/>
    <w:uiPriority w:val="99"/>
    <w:semiHidden/>
    <w:unhideWhenUsed/>
    <w:rsid w:val="00241F08"/>
    <w:rPr>
      <w:sz w:val="16"/>
      <w:szCs w:val="16"/>
    </w:rPr>
  </w:style>
  <w:style w:type="paragraph" w:styleId="CommentText">
    <w:name w:val="annotation text"/>
    <w:basedOn w:val="Normal"/>
    <w:link w:val="CommentTextChar"/>
    <w:uiPriority w:val="99"/>
    <w:unhideWhenUsed/>
    <w:rsid w:val="00241F08"/>
    <w:rPr>
      <w:sz w:val="20"/>
      <w:szCs w:val="20"/>
    </w:rPr>
  </w:style>
  <w:style w:type="character" w:customStyle="1" w:styleId="CommentTextChar">
    <w:name w:val="Comment Text Char"/>
    <w:basedOn w:val="DefaultParagraphFont"/>
    <w:link w:val="CommentText"/>
    <w:uiPriority w:val="99"/>
    <w:rsid w:val="00241F08"/>
    <w:rPr>
      <w:rFonts w:ascii="Times New Roman" w:eastAsia="Times New Roman" w:hAnsi="Times New Roman"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241F08"/>
    <w:rPr>
      <w:b/>
      <w:bCs/>
    </w:rPr>
  </w:style>
  <w:style w:type="character" w:customStyle="1" w:styleId="CommentSubjectChar">
    <w:name w:val="Comment Subject Char"/>
    <w:basedOn w:val="CommentTextChar"/>
    <w:link w:val="CommentSubject"/>
    <w:uiPriority w:val="99"/>
    <w:semiHidden/>
    <w:rsid w:val="00241F08"/>
    <w:rPr>
      <w:rFonts w:ascii="Times New Roman" w:eastAsia="Times New Roman" w:hAnsi="Times New Roman" w:cs="Times New Roman"/>
      <w:b/>
      <w:bCs/>
      <w:kern w:val="0"/>
      <w:sz w:val="20"/>
      <w:szCs w:val="20"/>
      <w:lang w:val="en-US"/>
    </w:rPr>
  </w:style>
  <w:style w:type="paragraph" w:styleId="ListParagraph">
    <w:name w:val="List Paragraph"/>
    <w:basedOn w:val="Normal"/>
    <w:uiPriority w:val="34"/>
    <w:qFormat/>
    <w:rsid w:val="008F0580"/>
    <w:pPr>
      <w:ind w:left="720"/>
      <w:contextualSpacing/>
    </w:pPr>
  </w:style>
  <w:style w:type="table" w:customStyle="1" w:styleId="TableGrid">
    <w:name w:val="TableGrid"/>
    <w:rsid w:val="006E01B5"/>
    <w:rPr>
      <w:rFonts w:eastAsiaTheme="minorEastAsia"/>
      <w:lang w:val="es-ES" w:eastAsia="es-ES"/>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27"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ioc-tsunam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ZZq1ioAjT6faJsH0rajtQnlFA==">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2388</Words>
  <Characters>13617</Characters>
  <Application>Microsoft Office Word</Application>
  <DocSecurity>0</DocSecurity>
  <Lines>113</Lines>
  <Paragraphs>31</Paragraphs>
  <ScaleCrop>false</ScaleCrop>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Fromont [NEMA]</dc:creator>
  <cp:lastModifiedBy>Chang Seng, Denis</cp:lastModifiedBy>
  <cp:revision>2</cp:revision>
  <dcterms:created xsi:type="dcterms:W3CDTF">2025-02-13T20:25:00Z</dcterms:created>
  <dcterms:modified xsi:type="dcterms:W3CDTF">2025-02-13T20:25:00Z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iManageFooter</vt:lpwstr>
  </property>
  <property fmtid="{D5CDD505-2E9C-101B-9397-08002B2CF9AE}" pid="3" name="CASS.imProfileDatabase">
    <vt:lpwstr>0</vt:lpwstr>
  </property>
  <property fmtid="{D5CDD505-2E9C-101B-9397-08002B2CF9AE}" pid="4" name="CASS.imProfileDocNum">
    <vt:lpwstr>0</vt:lpwstr>
  </property>
  <property fmtid="{D5CDD505-2E9C-101B-9397-08002B2CF9AE}" pid="5" name="CASS.imProfileVersion">
    <vt:lpwstr>0</vt:lpwstr>
  </property>
  <property fmtid="{D5CDD505-2E9C-101B-9397-08002B2CF9AE}" pid="6" name="CASS.imProfileDescription">
    <vt:lpwstr>0</vt:lpwstr>
  </property>
  <property fmtid="{D5CDD505-2E9C-101B-9397-08002B2CF9AE}" pid="7" name="CASS.imProfileAuthor">
    <vt:lpwstr>CASS.imProfileAuthor</vt:lpwstr>
  </property>
  <property fmtid="{D5CDD505-2E9C-101B-9397-08002B2CF9AE}" pid="8" name="CASS.imProfileAuthorDescription">
    <vt:lpwstr>CASS.imProfileAuthorDescription</vt:lpwstr>
  </property>
  <property fmtid="{D5CDD505-2E9C-101B-9397-08002B2CF9AE}" pid="9" name="CASS.imProfileCustom3">
    <vt:lpwstr>CASS.imProfileCustom3</vt:lpwstr>
  </property>
  <property fmtid="{D5CDD505-2E9C-101B-9397-08002B2CF9AE}" pid="10" name="CASS.imProfileCustom6">
    <vt:lpwstr>CASS.imProfileCustom6</vt:lpwstr>
  </property>
</Properties>
</file>