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es"/>
        </w:rPr>
        <w:t>APERTURA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es"/>
        </w:rPr>
        <w:t>ORGANIZACIÓN DE LA REUNIÓN</w:t>
      </w:r>
      <w:bookmarkEnd w:id="1"/>
    </w:p>
    <w:p w14:paraId="54691195" w14:textId="25E1BDC1" w:rsidR="004B7754" w:rsidRPr="00D01BF0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s"/>
        </w:rPr>
        <w:t>APROBACIÓN DEL ORDEN DEL DÍA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45 del Reglamento]</w:t>
      </w:r>
    </w:p>
    <w:p w14:paraId="5DD46335" w14:textId="15B02055" w:rsidR="004B7754" w:rsidRPr="00D01BF0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s"/>
        </w:rPr>
        <w:t>DESIGNACIÓN DEL RELATOR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8.4 del Reglamento]</w:t>
      </w:r>
    </w:p>
    <w:p w14:paraId="37EEDF8A" w14:textId="6867E70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lang w:val="es"/>
        </w:rPr>
        <w:t>ESTABLECIMIENTO DE LOS COMITÉS Y GRUPOS DE TRABAJO DE LA REUNIÓN</w:t>
      </w:r>
      <w:r>
        <w:rPr>
          <w:rFonts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49 del Reglamento]</w:t>
      </w:r>
    </w:p>
    <w:p w14:paraId="30F57D5A" w14:textId="7F3E99DC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PRESENTACIÓN DEL CALENDARIO, LA DOCUMENTACIÓN </w:t>
      </w:r>
      <w:r>
        <w:rPr>
          <w:rFonts w:ascii="Arial" w:hAnsi="Arial" w:cs="Arial"/>
          <w:sz w:val="22"/>
          <w:szCs w:val="22"/>
          <w:lang w:val="es"/>
        </w:rPr>
        <w:br/>
        <w:t>Y LAS CONFERENCIAS CONMEMORATIVAS DE LA COI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 xml:space="preserve">[Artículo 48 del Reglamento;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EC-55/5.3;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A-31/3.2]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ASUNTOS E INFORMES DE LA COI</w:t>
      </w:r>
    </w:p>
    <w:p w14:paraId="2F43A2FA" w14:textId="4470B5AD" w:rsidR="00273610" w:rsidRPr="00D01BF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s"/>
        </w:rPr>
        <w:t>DECLARACIÓN DEL PRESIDENTE</w:t>
      </w:r>
      <w:r>
        <w:rPr>
          <w:rFonts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45.1(a) del Reglamento]</w:t>
      </w:r>
    </w:p>
    <w:p w14:paraId="6BFC68FA" w14:textId="2523A85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INFORME DEL SECRETARIO EJECUTIVO SOBRE LA LABOR </w:t>
      </w:r>
      <w:r>
        <w:rPr>
          <w:rFonts w:ascii="Arial" w:hAnsi="Arial" w:cs="Arial"/>
          <w:sz w:val="22"/>
          <w:szCs w:val="22"/>
          <w:lang w:val="es"/>
        </w:rPr>
        <w:br/>
        <w:t xml:space="preserve">REALIZADA DESDE LA 32ª REUNIÓN DE LA ASAMBLEA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[Artículos 45.1(b)(c)(g) y 31 del reglamento]</w:t>
      </w:r>
    </w:p>
    <w:p w14:paraId="11CE3121" w14:textId="5B3FAFEA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INFORMES DE LAS SUBCOMISIONES DE LA COI</w:t>
      </w:r>
      <w:r>
        <w:rPr>
          <w:rFonts w:ascii="Arial" w:hAnsi="Arial" w:cs="Arial"/>
          <w:sz w:val="22"/>
          <w:szCs w:val="22"/>
          <w:lang w:val="es"/>
        </w:rPr>
        <w:tab/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30.3 del Reglamento]</w:t>
      </w:r>
    </w:p>
    <w:p w14:paraId="7A6A4353" w14:textId="665DD8FD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Subcomisión de la COI para África y Estados Insulares Adyacentes: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 xml:space="preserve">8ª reunión de IOCAFRICA, </w:t>
      </w:r>
      <w:proofErr w:type="spellStart"/>
      <w:r>
        <w:rPr>
          <w:rFonts w:ascii="Arial" w:hAnsi="Arial" w:cs="Arial"/>
          <w:b/>
          <w:bCs/>
          <w:sz w:val="22"/>
          <w:szCs w:val="22"/>
          <w:lang w:val="es"/>
        </w:rPr>
        <w:t>Mombasa</w:t>
      </w:r>
      <w:proofErr w:type="spellEnd"/>
      <w:r>
        <w:rPr>
          <w:rFonts w:ascii="Arial" w:hAnsi="Arial" w:cs="Arial"/>
          <w:b/>
          <w:bCs/>
          <w:sz w:val="22"/>
          <w:szCs w:val="22"/>
          <w:lang w:val="es"/>
        </w:rPr>
        <w:t>, Kenia</w:t>
      </w:r>
      <w:r>
        <w:rPr>
          <w:rFonts w:ascii="Arial" w:hAnsi="Arial" w:cs="Arial"/>
          <w:b/>
          <w:bCs/>
          <w:i/>
          <w:iCs/>
          <w:sz w:val="22"/>
          <w:szCs w:val="22"/>
          <w:lang w:val="es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s"/>
        </w:rPr>
        <w:t>7-9 de mayo de 2025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Subcomisión de la COI para el Pacífico </w:t>
      </w:r>
      <w:proofErr w:type="gramStart"/>
      <w:r>
        <w:rPr>
          <w:rFonts w:ascii="Arial" w:hAnsi="Arial" w:cs="Arial"/>
          <w:b/>
          <w:bCs/>
          <w:sz w:val="22"/>
          <w:szCs w:val="22"/>
          <w:lang w:val="es"/>
        </w:rPr>
        <w:t>Occidental:15ª</w:t>
      </w:r>
      <w:proofErr w:type="gramEnd"/>
      <w:r>
        <w:rPr>
          <w:rFonts w:ascii="Arial" w:hAnsi="Arial" w:cs="Arial"/>
          <w:b/>
          <w:bCs/>
          <w:sz w:val="22"/>
          <w:szCs w:val="22"/>
          <w:vertAlign w:val="superscript"/>
          <w:lang w:val="e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"/>
        </w:rPr>
        <w:t>reunión de WESTPAC, Tokio, Japón, 11-13 de marzo de 2025</w:t>
      </w:r>
    </w:p>
    <w:p w14:paraId="453DC776" w14:textId="4584EB44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Subcomisión de la COI para el Caribe y Regiones Adyacentes: 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 xml:space="preserve">18ª reunión de IOCARIBE, </w:t>
      </w:r>
      <w:r>
        <w:rPr>
          <w:rFonts w:ascii="Arial" w:hAnsi="Arial" w:cs="Arial"/>
          <w:b/>
          <w:bCs/>
          <w:i/>
          <w:iCs/>
          <w:sz w:val="22"/>
          <w:szCs w:val="22"/>
          <w:lang w:val="es"/>
        </w:rPr>
        <w:t>(por confirmar)</w:t>
      </w:r>
    </w:p>
    <w:p w14:paraId="355079FD" w14:textId="63E2447B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Subcomisión de la COI para el Océano Índico Central: 1ª reunión de IOCINDIO, Dubái, Emiratos Árabes Unidos</w:t>
      </w:r>
      <w:r>
        <w:rPr>
          <w:rFonts w:ascii="Arial" w:hAnsi="Arial" w:cs="Arial"/>
          <w:b/>
          <w:bCs/>
          <w:i/>
          <w:iCs/>
          <w:sz w:val="22"/>
          <w:szCs w:val="22"/>
          <w:lang w:val="es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s"/>
        </w:rPr>
        <w:t>9-11 de abril de 2025</w:t>
      </w:r>
    </w:p>
    <w:p w14:paraId="32BE0F98" w14:textId="38BA0ABD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lastRenderedPageBreak/>
        <w:t>INFORMES DE OTROS ÓRGANOS SUBSIDIARIOS DE LA COI</w:t>
      </w:r>
      <w:r>
        <w:rPr>
          <w:rFonts w:ascii="Arial" w:hAnsi="Arial" w:cs="Arial"/>
          <w:sz w:val="22"/>
          <w:szCs w:val="22"/>
          <w:lang w:val="es"/>
        </w:rPr>
        <w:br/>
        <w:t>[artículo 30.3 del Reglamento]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Sistemas de alerta contra los peligros oceánicos y atenuación de sus efectos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>Servicios regionales de alerta temprana</w:t>
      </w:r>
    </w:p>
    <w:p w14:paraId="4244EEFB" w14:textId="1A956549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>Coordinación mundial de los sistemas de alerta y mitigación de los peligros oceánicos</w:t>
      </w:r>
    </w:p>
    <w:p w14:paraId="5282D797" w14:textId="0DCFB6E5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Intercambio Internacional de Datos e Información Oceanográficos: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28ª reunión del IODE, Santa Marta, Colombia, 12-14 de marzo de 2025</w:t>
      </w:r>
    </w:p>
    <w:p w14:paraId="1C6892F3" w14:textId="669D1356" w:rsidR="00B731A2" w:rsidRPr="009F36AB" w:rsidRDefault="00B731A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Arquitectura de datos de la COI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[Rec. IODE-28; Rec. GOOS-SC-14]</w:t>
      </w:r>
    </w:p>
    <w:p w14:paraId="4FE2D432" w14:textId="66DBE7F3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Panel Intergubernamental sobre</w:t>
      </w:r>
      <w:r>
        <w:rPr>
          <w:rFonts w:cs="Arial"/>
          <w:b/>
          <w:bCs/>
          <w:szCs w:val="22"/>
          <w:lang w:val="e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"/>
        </w:rPr>
        <w:t>Floraciones de Algas Nocivas de la COI y la FAO: 17ª reunión del IPHAB, FAO, UNESCO, París, 18-20 de marzo de 2025</w:t>
      </w:r>
    </w:p>
    <w:p w14:paraId="44D6277C" w14:textId="79BA6DEE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 DE LA COI A LA 43ª CONFERENCIA GENERAL DE LA UNESCO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3.2 de los Estatutos; artículo 50 del Reglamento]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NOVEDADES PROGRAMÁTICAS</w:t>
      </w:r>
    </w:p>
    <w:p w14:paraId="0148A6BB" w14:textId="1D5E3D48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PROYECTO DE ESTRATEGIA DE LA COI PARA LA PLANIFICACIÓN Y GESTIÓN SOSTENIBLES DEL OCÉANO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IOC-XXVI/8.2; </w:t>
      </w:r>
      <w:proofErr w:type="spellStart"/>
      <w:r>
        <w:rPr>
          <w:rFonts w:ascii="Arial" w:hAnsi="Arial" w:cs="Arial"/>
          <w:sz w:val="20"/>
          <w:szCs w:val="22"/>
          <w:lang w:val="es"/>
        </w:rPr>
        <w:t>Dec</w:t>
      </w:r>
      <w:proofErr w:type="spellEnd"/>
      <w:r>
        <w:rPr>
          <w:rFonts w:ascii="Arial" w:hAnsi="Arial" w:cs="Arial"/>
          <w:sz w:val="20"/>
          <w:szCs w:val="22"/>
          <w:lang w:val="es"/>
        </w:rPr>
        <w:t xml:space="preserve">. A-32/4.7; </w:t>
      </w:r>
      <w:proofErr w:type="spellStart"/>
      <w:r>
        <w:rPr>
          <w:rFonts w:ascii="Arial" w:hAnsi="Arial" w:cs="Arial"/>
          <w:sz w:val="20"/>
          <w:szCs w:val="22"/>
          <w:lang w:val="es"/>
        </w:rPr>
        <w:t>Dec</w:t>
      </w:r>
      <w:proofErr w:type="spellEnd"/>
      <w:r>
        <w:rPr>
          <w:rFonts w:ascii="Arial" w:hAnsi="Arial" w:cs="Arial"/>
          <w:sz w:val="20"/>
          <w:szCs w:val="22"/>
          <w:lang w:val="es"/>
        </w:rPr>
        <w:t>. EC-57/4.3]</w:t>
      </w:r>
    </w:p>
    <w:p w14:paraId="0AD4BE50" w14:textId="27129272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PROYECTO DE PLAN DE APLICACIÓN DE LA COI </w:t>
      </w:r>
      <w:r>
        <w:rPr>
          <w:rFonts w:ascii="Arial" w:hAnsi="Arial" w:cs="Arial"/>
          <w:sz w:val="22"/>
          <w:szCs w:val="22"/>
          <w:lang w:val="es"/>
        </w:rPr>
        <w:br/>
        <w:t>ESTRATEGIA DE DESARROLLO DE CAPACIDADES 2023-2030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A-31/3.5.3;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IOC-XXIX/10.1.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EC-57/4.6]</w:t>
      </w:r>
    </w:p>
    <w:p w14:paraId="22A88780" w14:textId="21013C93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MAPA BATIMÉTRICO GENERAL DE LOS OCÉANOS (GEBCO) - INFORME Y SEGUIMIENTO DEL EXAMEN DE LA GOBERNANZA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es"/>
        </w:rPr>
        <w:t>[A-32/dec.4.1, EC-57/dec.4.4]</w:t>
      </w:r>
    </w:p>
    <w:p w14:paraId="762C79FD" w14:textId="12E99834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PLAN DE ACCIÓN Y ESTRATEGIA DE ALFABETIZACIÓN OCEÁNICA DE LA COI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IOC-XXX/11.2;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A-31/3.5.4]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SISTEMA MUNDIAL DE OBSERVACIÓN DEL OCÉANO </w:t>
      </w:r>
    </w:p>
    <w:p w14:paraId="126E0D9E" w14:textId="4361AB21" w:rsidR="00D9423A" w:rsidRPr="00D01BF0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Gobernanza del GOOS</w:t>
      </w:r>
      <w:r>
        <w:rPr>
          <w:rFonts w:ascii="Arial" w:hAnsi="Arial" w:cs="Arial"/>
          <w:sz w:val="22"/>
          <w:szCs w:val="22"/>
          <w:lang w:val="es"/>
        </w:rPr>
        <w:t xml:space="preserve">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 xml:space="preserve">[artículo 45.1(j) del reglamento;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EC-57/4.1]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Plan de trabajo del Comité de Dirección del GOOS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</w:rPr>
      </w:pPr>
      <w:r>
        <w:rPr>
          <w:lang w:val="es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s"/>
        </w:rPr>
        <w:t>[</w:t>
      </w:r>
      <w:r>
        <w:rPr>
          <w:rFonts w:ascii="Arial" w:hAnsi="Arial" w:cs="Arial"/>
          <w:sz w:val="20"/>
          <w:szCs w:val="20"/>
          <w:lang w:val="es"/>
        </w:rPr>
        <w:t>Res.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Informe del grupo de trabajo entre reuniones sobre observaciones oceánicas en zonas bajo jurisdicción nacional</w:t>
      </w:r>
      <w:r>
        <w:rPr>
          <w:rFonts w:ascii="Arial" w:hAnsi="Arial" w:cs="Arial"/>
          <w:sz w:val="22"/>
          <w:szCs w:val="22"/>
          <w:lang w:val="es"/>
        </w:rPr>
        <w:br/>
        <w:t>[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IOC/EC-55/3.4; </w:t>
      </w:r>
      <w:proofErr w:type="spellStart"/>
      <w:r>
        <w:rPr>
          <w:rFonts w:ascii="Arial" w:hAnsi="Arial" w:cs="Arial"/>
          <w:sz w:val="22"/>
          <w:szCs w:val="22"/>
          <w:lang w:val="es"/>
        </w:rPr>
        <w:t>Dec</w:t>
      </w:r>
      <w:proofErr w:type="spellEnd"/>
      <w:r>
        <w:rPr>
          <w:rFonts w:ascii="Arial" w:hAnsi="Arial" w:cs="Arial"/>
          <w:sz w:val="22"/>
          <w:szCs w:val="22"/>
          <w:lang w:val="es"/>
        </w:rPr>
        <w:t>. A-32/4.8.2]</w:t>
      </w:r>
    </w:p>
    <w:p w14:paraId="0355246E" w14:textId="6261D327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</w:rPr>
      </w:pPr>
      <w:bookmarkStart w:id="2" w:name="_Hlk184635962"/>
      <w:r>
        <w:rPr>
          <w:rFonts w:ascii="Arial" w:hAnsi="Arial" w:cs="Arial"/>
          <w:sz w:val="22"/>
          <w:szCs w:val="22"/>
          <w:lang w:val="es"/>
        </w:rPr>
        <w:t>ASESORAMIENTO ESTRATÉGICO DEL CONSEJO DE COLABORACIÓN MIXTO OMM-COI SOBRE EL TRABAJO CONJUNTO PARA ALCANZAR OBJETIVOS COMUNES</w:t>
      </w:r>
      <w:r>
        <w:rPr>
          <w:rFonts w:ascii="Arial" w:hAnsi="Arial" w:cs="Arial"/>
          <w:b/>
          <w:bCs/>
          <w:sz w:val="22"/>
          <w:szCs w:val="22"/>
          <w:lang w:val="es"/>
        </w:rPr>
        <w:t> 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 xml:space="preserve">[Res. XXX-2;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 xml:space="preserve">. A-31/3.5.5;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A-32/4.9]</w:t>
      </w:r>
      <w:bookmarkEnd w:id="2"/>
    </w:p>
    <w:p w14:paraId="4743CD15" w14:textId="349EFD22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Hlk184636407"/>
      <w:r>
        <w:rPr>
          <w:rFonts w:ascii="Arial" w:hAnsi="Arial" w:cs="Arial"/>
          <w:sz w:val="22"/>
          <w:szCs w:val="22"/>
          <w:lang w:val="es"/>
        </w:rPr>
        <w:t>CONTRIBUCIONES DE LA COI A LOS PROCESOS DE GOBERNANZA DE LAS NACIONES UNIDAS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45.1(g) del Reglamento]</w:t>
      </w:r>
    </w:p>
    <w:bookmarkEnd w:id="3"/>
    <w:p w14:paraId="2AE4CD83" w14:textId="77777777" w:rsidR="00D01BF0" w:rsidRDefault="00D01BF0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  <w:lang w:val="es" w:eastAsia="en-US"/>
        </w:rPr>
      </w:pPr>
      <w:r>
        <w:rPr>
          <w:rFonts w:ascii="Arial" w:hAnsi="Arial" w:cs="Arial"/>
          <w:sz w:val="22"/>
          <w:szCs w:val="22"/>
          <w:lang w:val="es"/>
        </w:rPr>
        <w:br w:type="page"/>
      </w:r>
    </w:p>
    <w:p w14:paraId="355A1DA5" w14:textId="14EEDEC4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lastRenderedPageBreak/>
        <w:t>INFORME SOBRE LA EJECUCIÓN DEL DECENIO DE LAS NACIONES UNIDAS SOBRE LOS OCÉANOS 2021-2030 Y RESULTADOS DE LA EVALUACIÓN INTERMEDIA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CE-XLIX/5; Res. XXIX/1; Res. EC-LI.1; Res. EC-57/1]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 w:rsidRPr="00D01BF0">
        <w:rPr>
          <w:rFonts w:ascii="Arial" w:hAnsi="Arial" w:cs="Arial"/>
          <w:b/>
          <w:bCs/>
          <w:sz w:val="22"/>
          <w:szCs w:val="22"/>
          <w:lang w:val="es"/>
        </w:rPr>
        <w:t>GOBERNANZA, PROGRAMACIÓN Y PRESUPUESTACIÓN</w:t>
      </w:r>
      <w:r w:rsidRPr="00D01BF0"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6B de los Estatutos]</w:t>
      </w:r>
    </w:p>
    <w:p w14:paraId="69D5378B" w14:textId="4C3516A3" w:rsidR="00B13CB2" w:rsidRPr="00477B8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lang w:val="es"/>
        </w:rPr>
        <w:t xml:space="preserve">PROYECTO DE PROGRAMA Y PRESUPUESTO PARA 2026-2029 </w:t>
      </w:r>
      <w:r>
        <w:rPr>
          <w:rFonts w:ascii="Arial" w:hAnsi="Arial" w:cs="Arial"/>
          <w:color w:val="000000"/>
          <w:sz w:val="22"/>
          <w:szCs w:val="22"/>
          <w:lang w:val="es"/>
        </w:rPr>
        <w:br/>
        <w:t>(Proyecto 43 C/5, primer bienio 2026-2027)</w:t>
      </w:r>
    </w:p>
    <w:p w14:paraId="25D2B22D" w14:textId="131DB261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es"/>
        </w:rPr>
        <w:t xml:space="preserve">EVALUACIÓN DE LA GOBERNANZA DE LA COI </w:t>
      </w:r>
      <w:r>
        <w:rPr>
          <w:rFonts w:ascii="Arial" w:hAnsi="Arial" w:cs="Arial"/>
          <w:sz w:val="22"/>
          <w:szCs w:val="22"/>
          <w:lang w:val="es"/>
        </w:rPr>
        <w:br/>
        <w:t xml:space="preserve">Y PROCESOS DE GESTIÓN </w:t>
      </w:r>
      <w:r>
        <w:rPr>
          <w:rFonts w:ascii="Arial" w:hAnsi="Arial" w:cs="Arial"/>
          <w:sz w:val="20"/>
          <w:szCs w:val="20"/>
          <w:lang w:val="es"/>
        </w:rPr>
        <w:t>[Res. EC-57/2]</w:t>
      </w:r>
    </w:p>
    <w:p w14:paraId="50C64E6F" w14:textId="7550E0B8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LA COI Y EL FUTURO DEL PROCESO DE CONSULTA SOBRE LOS OCÉANOS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EC-55/3.</w:t>
      </w:r>
      <w:proofErr w:type="gramStart"/>
      <w:r>
        <w:rPr>
          <w:rFonts w:ascii="Arial" w:hAnsi="Arial" w:cs="Arial"/>
          <w:sz w:val="20"/>
          <w:szCs w:val="20"/>
          <w:lang w:val="es"/>
        </w:rPr>
        <w:t>2.Doc</w:t>
      </w:r>
      <w:proofErr w:type="gramEnd"/>
      <w:r>
        <w:rPr>
          <w:rFonts w:ascii="Arial" w:hAnsi="Arial" w:cs="Arial"/>
          <w:sz w:val="20"/>
          <w:szCs w:val="20"/>
          <w:lang w:val="es"/>
        </w:rPr>
        <w:t xml:space="preserve">(1); Res. XXX-3; </w:t>
      </w:r>
      <w:proofErr w:type="spellStart"/>
      <w:r>
        <w:rPr>
          <w:rFonts w:ascii="Arial" w:hAnsi="Arial" w:cs="Arial"/>
          <w:sz w:val="20"/>
          <w:szCs w:val="20"/>
          <w:lang w:val="es"/>
        </w:rPr>
        <w:t>Dec</w:t>
      </w:r>
      <w:proofErr w:type="spellEnd"/>
      <w:r>
        <w:rPr>
          <w:rFonts w:ascii="Arial" w:hAnsi="Arial" w:cs="Arial"/>
          <w:sz w:val="20"/>
          <w:szCs w:val="20"/>
          <w:lang w:val="es"/>
        </w:rPr>
        <w:t>. EC-55/3.2; Res. EC-57/2]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 DEL PRESIDENTE DEL COMITÉ DE FINANZAS</w:t>
      </w:r>
      <w:r>
        <w:rPr>
          <w:rFonts w:ascii="Arial" w:hAnsi="Arial" w:cs="Arial"/>
          <w:sz w:val="22"/>
          <w:szCs w:val="22"/>
          <w:lang w:val="es"/>
        </w:rPr>
        <w:br/>
        <w:t>[artículo 1.2 de los Estatutos]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ELECCIÓN DE LA MESA DE LA COMISIÓN </w:t>
      </w:r>
      <w:r>
        <w:rPr>
          <w:rFonts w:ascii="Arial" w:hAnsi="Arial" w:cs="Arial"/>
          <w:sz w:val="22"/>
          <w:szCs w:val="22"/>
          <w:lang w:val="es"/>
        </w:rPr>
        <w:br/>
        <w:t>Y MIEMBROS DEL CONSEJO EJECUTIVO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[Art. 6.B.5 y 7 de los Estatutos; Anexo I del Reglamento]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Elección del </w:t>
      </w:r>
      <w:proofErr w:type="gramStart"/>
      <w:r>
        <w:rPr>
          <w:rFonts w:ascii="Arial" w:hAnsi="Arial" w:cs="Arial"/>
          <w:b/>
          <w:bCs/>
          <w:sz w:val="22"/>
          <w:szCs w:val="22"/>
          <w:lang w:val="es"/>
        </w:rPr>
        <w:t>Presidente</w:t>
      </w:r>
      <w:proofErr w:type="gramEnd"/>
      <w:r>
        <w:rPr>
          <w:rFonts w:ascii="Arial" w:hAnsi="Arial" w:cs="Arial"/>
          <w:b/>
          <w:bCs/>
          <w:sz w:val="22"/>
          <w:szCs w:val="22"/>
          <w:lang w:val="es"/>
        </w:rPr>
        <w:t xml:space="preserve"> de la Comisión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Elección de los </w:t>
      </w:r>
      <w:proofErr w:type="gramStart"/>
      <w:r>
        <w:rPr>
          <w:rFonts w:ascii="Arial" w:hAnsi="Arial" w:cs="Arial"/>
          <w:b/>
          <w:bCs/>
          <w:sz w:val="22"/>
          <w:szCs w:val="22"/>
          <w:lang w:val="es"/>
        </w:rPr>
        <w:t>Vicepresidentes</w:t>
      </w:r>
      <w:proofErr w:type="gramEnd"/>
      <w:r>
        <w:rPr>
          <w:rFonts w:ascii="Arial" w:hAnsi="Arial" w:cs="Arial"/>
          <w:b/>
          <w:bCs/>
          <w:sz w:val="22"/>
          <w:szCs w:val="22"/>
          <w:lang w:val="es"/>
        </w:rPr>
        <w:t xml:space="preserve"> de la Comisión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Elección de los miembros del Consejo Ejecutivo</w:t>
      </w:r>
    </w:p>
    <w:p w14:paraId="07ABE9DD" w14:textId="0EEFCA9F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34ª REUNIÓN DE LA ASAMBLEA </w:t>
      </w:r>
      <w:r>
        <w:rPr>
          <w:rFonts w:ascii="Arial" w:hAnsi="Arial" w:cs="Arial"/>
          <w:sz w:val="22"/>
          <w:szCs w:val="22"/>
          <w:lang w:val="es"/>
        </w:rPr>
        <w:br/>
        <w:t>Y 59ª REUNIÓN DEL CONSEJO EJECUTIVO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sz w:val="20"/>
          <w:szCs w:val="20"/>
          <w:lang w:val="es"/>
        </w:rPr>
        <w:t>[Artículo 53 del Reglamento]</w:t>
      </w:r>
    </w:p>
    <w:p w14:paraId="13A63FEA" w14:textId="742121AA" w:rsidR="004B7754" w:rsidRPr="00D01BF0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fr-FR"/>
        </w:rPr>
      </w:pPr>
      <w:bookmarkStart w:id="4" w:name="_Toc141510531"/>
      <w:r>
        <w:rPr>
          <w:rFonts w:ascii="Arial" w:hAnsi="Arial" w:cs="Arial"/>
          <w:b/>
          <w:bCs/>
          <w:sz w:val="22"/>
          <w:szCs w:val="22"/>
          <w:lang w:val="es"/>
        </w:rPr>
        <w:t xml:space="preserve">APROBACIÓN DE LAS RESOLUCIONES Y MODALIDADES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PARA LA FINALIZACIÓN DEL INFORME</w:t>
      </w:r>
      <w:bookmarkEnd w:id="4"/>
      <w:r>
        <w:rPr>
          <w:rFonts w:ascii="Arial" w:hAnsi="Arial" w:cs="Arial"/>
          <w:sz w:val="22"/>
          <w:szCs w:val="22"/>
          <w:lang w:val="es"/>
        </w:rPr>
        <w:br/>
      </w:r>
      <w:bookmarkStart w:id="5" w:name="_Hlk191029253"/>
      <w:r>
        <w:rPr>
          <w:rFonts w:ascii="Arial" w:hAnsi="Arial" w:cs="Arial"/>
          <w:sz w:val="20"/>
          <w:szCs w:val="20"/>
          <w:lang w:val="es"/>
        </w:rPr>
        <w:t>[Artículo 30 del Reglamento]</w:t>
      </w:r>
      <w:bookmarkEnd w:id="5"/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41510532"/>
      <w:bookmarkStart w:id="7" w:name="OLE_LINK1"/>
      <w:bookmarkStart w:id="8" w:name="OLE_LINK2"/>
      <w:r>
        <w:rPr>
          <w:rFonts w:ascii="Arial" w:hAnsi="Arial" w:cs="Arial"/>
          <w:b/>
          <w:bCs/>
          <w:sz w:val="22"/>
          <w:szCs w:val="22"/>
          <w:lang w:val="es"/>
        </w:rPr>
        <w:t>CLAUSURA</w:t>
      </w:r>
      <w:bookmarkEnd w:id="6"/>
      <w:bookmarkEnd w:id="7"/>
      <w:bookmarkEnd w:id="8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8C41" w14:textId="77777777" w:rsidR="00BC612B" w:rsidRDefault="00BC612B">
      <w:r>
        <w:separator/>
      </w:r>
    </w:p>
  </w:endnote>
  <w:endnote w:type="continuationSeparator" w:id="0">
    <w:p w14:paraId="2725BC83" w14:textId="77777777" w:rsidR="00BC612B" w:rsidRDefault="00B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77E0" w14:textId="77777777" w:rsidR="00BC612B" w:rsidRDefault="00BC612B">
      <w:r>
        <w:separator/>
      </w:r>
    </w:p>
  </w:footnote>
  <w:footnote w:type="continuationSeparator" w:id="0">
    <w:p w14:paraId="4AB010CF" w14:textId="77777777" w:rsidR="00BC612B" w:rsidRDefault="00B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0D4DB56C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>IOC/A-33/2.</w:t>
    </w:r>
    <w:proofErr w:type="gramStart"/>
    <w:r>
      <w:rPr>
        <w:rFonts w:ascii="Arial" w:hAnsi="Arial" w:cs="Arial"/>
        <w:sz w:val="22"/>
        <w:szCs w:val="22"/>
        <w:lang w:val="es"/>
      </w:rPr>
      <w:t>1.Doc</w:t>
    </w:r>
    <w:proofErr w:type="gramEnd"/>
    <w:r>
      <w:rPr>
        <w:rFonts w:ascii="Arial" w:hAnsi="Arial" w:cs="Arial"/>
        <w:sz w:val="22"/>
        <w:szCs w:val="22"/>
        <w:lang w:val="es"/>
      </w:rPr>
      <w:t xml:space="preserve"> Prov. - </w:t>
    </w:r>
    <w:proofErr w:type="spellStart"/>
    <w:r>
      <w:rPr>
        <w:rFonts w:ascii="Arial" w:hAnsi="Arial" w:cs="Arial"/>
        <w:sz w:val="22"/>
        <w:szCs w:val="22"/>
        <w:lang w:val="es"/>
      </w:rPr>
      <w:t>pág</w:t>
    </w:r>
    <w:proofErr w:type="spellEnd"/>
    <w:r>
      <w:rPr>
        <w:rFonts w:ascii="Arial" w:hAnsi="Arial" w:cs="Arial"/>
        <w:sz w:val="22"/>
        <w:szCs w:val="22"/>
        <w:lang w:val="es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fldChar w:fldCharType="begin"/>
        </w:r>
        <w:r>
          <w:rPr>
            <w:rFonts w:ascii="Arial" w:hAnsi="Arial" w:cs="Arial"/>
            <w:sz w:val="22"/>
            <w:szCs w:val="22"/>
            <w:lang w:val="es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es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es"/>
          </w:rPr>
          <w:t>2</w:t>
        </w:r>
        <w:r>
          <w:rPr>
            <w:rFonts w:ascii="Arial" w:hAnsi="Arial" w:cs="Arial"/>
            <w:sz w:val="22"/>
            <w:szCs w:val="22"/>
            <w:lang w:val="es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323AD99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>IOC/A-33/2.</w:t>
    </w:r>
    <w:proofErr w:type="gramStart"/>
    <w:r>
      <w:rPr>
        <w:rFonts w:ascii="Arial" w:hAnsi="Arial" w:cs="Arial"/>
        <w:sz w:val="22"/>
        <w:szCs w:val="22"/>
        <w:lang w:val="es"/>
      </w:rPr>
      <w:t>1.Doc</w:t>
    </w:r>
    <w:proofErr w:type="gramEnd"/>
    <w:r>
      <w:rPr>
        <w:rFonts w:ascii="Arial" w:hAnsi="Arial" w:cs="Arial"/>
        <w:sz w:val="22"/>
        <w:szCs w:val="22"/>
        <w:lang w:val="es"/>
      </w:rPr>
      <w:t xml:space="preserve"> Prov. - </w:t>
    </w:r>
    <w:proofErr w:type="spellStart"/>
    <w:r>
      <w:rPr>
        <w:rFonts w:ascii="Arial" w:hAnsi="Arial" w:cs="Arial"/>
        <w:sz w:val="22"/>
        <w:szCs w:val="22"/>
        <w:lang w:val="es"/>
      </w:rPr>
      <w:t>pág</w:t>
    </w:r>
    <w:proofErr w:type="spellEnd"/>
    <w:r>
      <w:rPr>
        <w:rFonts w:ascii="Arial" w:hAnsi="Arial" w:cs="Arial"/>
        <w:sz w:val="22"/>
        <w:szCs w:val="22"/>
        <w:lang w:val="es"/>
      </w:rPr>
      <w:t xml:space="preserve">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fldChar w:fldCharType="begin"/>
        </w:r>
        <w:r>
          <w:rPr>
            <w:rFonts w:ascii="Arial" w:hAnsi="Arial" w:cs="Arial"/>
            <w:sz w:val="22"/>
            <w:szCs w:val="22"/>
            <w:lang w:val="es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es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es"/>
          </w:rPr>
          <w:t>3</w:t>
        </w:r>
        <w:r>
          <w:rPr>
            <w:rFonts w:ascii="Arial" w:hAnsi="Arial" w:cs="Arial"/>
            <w:sz w:val="22"/>
            <w:szCs w:val="22"/>
            <w:lang w:val="es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D02" w14:textId="1D90EBDA" w:rsidR="000B0616" w:rsidRPr="00D01BF0" w:rsidRDefault="004B7754" w:rsidP="00D96A05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Arial" w:hAnsi="Arial" w:cs="Arial"/>
        <w:sz w:val="22"/>
        <w:szCs w:val="22"/>
        <w:lang w:val="es"/>
      </w:rPr>
      <w:t>Distribución restringida</w:t>
    </w:r>
    <w:r>
      <w:rPr>
        <w:lang w:val="es"/>
      </w:rPr>
      <w:tab/>
    </w:r>
    <w:bookmarkStart w:id="9" w:name="_Hlk54263549"/>
    <w:r>
      <w:rPr>
        <w:rFonts w:ascii="Arial" w:hAnsi="Arial" w:cs="Arial"/>
        <w:b/>
        <w:bCs/>
        <w:sz w:val="36"/>
        <w:szCs w:val="36"/>
        <w:lang w:val="es"/>
      </w:rPr>
      <w:t>IOC/A-33/2.</w:t>
    </w:r>
    <w:proofErr w:type="gramStart"/>
    <w:r>
      <w:rPr>
        <w:rFonts w:ascii="Arial" w:hAnsi="Arial" w:cs="Arial"/>
        <w:b/>
        <w:bCs/>
        <w:sz w:val="36"/>
        <w:szCs w:val="36"/>
        <w:lang w:val="es"/>
      </w:rPr>
      <w:t>1.Doc</w:t>
    </w:r>
    <w:bookmarkEnd w:id="9"/>
    <w:proofErr w:type="gramEnd"/>
    <w:r>
      <w:rPr>
        <w:rFonts w:ascii="Arial" w:hAnsi="Arial" w:cs="Arial"/>
        <w:b/>
        <w:bCs/>
        <w:sz w:val="36"/>
        <w:szCs w:val="36"/>
        <w:lang w:val="es"/>
      </w:rPr>
      <w:t xml:space="preserve"> Prov.</w:t>
    </w:r>
  </w:p>
  <w:p w14:paraId="4FD70AD5" w14:textId="5FC42946" w:rsidR="004B7754" w:rsidRPr="00D01BF0" w:rsidRDefault="000B0616" w:rsidP="00D96A05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  <w:lang w:val="fr-FR"/>
      </w:rPr>
    </w:pPr>
    <w:r>
      <w:rPr>
        <w:rFonts w:cs="Arial"/>
        <w:noProof/>
        <w:snapToGrid/>
        <w:szCs w:val="22"/>
        <w:lang w:val="es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"/>
      </w:rPr>
      <w:tab/>
    </w:r>
    <w:r>
      <w:rPr>
        <w:rFonts w:ascii="Arial" w:hAnsi="Arial" w:cs="Arial"/>
        <w:sz w:val="22"/>
        <w:szCs w:val="22"/>
        <w:lang w:val="es"/>
      </w:rPr>
      <w:t xml:space="preserve">París, 15 de febrero de 2025 </w:t>
    </w:r>
  </w:p>
  <w:p w14:paraId="07C76426" w14:textId="01EBD02F" w:rsidR="004B7754" w:rsidRPr="00D01BF0" w:rsidRDefault="004B7754" w:rsidP="00D96A05">
    <w:pPr>
      <w:pStyle w:val="Marge"/>
      <w:tabs>
        <w:tab w:val="left" w:pos="5670"/>
      </w:tabs>
      <w:rPr>
        <w:rFonts w:ascii="Arial" w:hAnsi="Arial" w:cs="Arial"/>
        <w:sz w:val="22"/>
        <w:szCs w:val="22"/>
        <w:lang w:val="fr-FR"/>
      </w:rPr>
    </w:pPr>
    <w:r>
      <w:rPr>
        <w:rFonts w:ascii="Arial" w:hAnsi="Arial" w:cs="Arial"/>
        <w:sz w:val="22"/>
        <w:szCs w:val="22"/>
        <w:lang w:val="es"/>
      </w:rPr>
      <w:tab/>
      <w:t xml:space="preserve">Original: </w:t>
    </w:r>
    <w:proofErr w:type="gramStart"/>
    <w:r>
      <w:rPr>
        <w:rFonts w:ascii="Arial" w:hAnsi="Arial" w:cs="Arial"/>
        <w:sz w:val="22"/>
        <w:szCs w:val="22"/>
        <w:lang w:val="es"/>
      </w:rPr>
      <w:t>Inglés</w:t>
    </w:r>
    <w:proofErr w:type="gramEnd"/>
  </w:p>
  <w:p w14:paraId="0759C652" w14:textId="1BF060F3" w:rsidR="004B7754" w:rsidRPr="00D01BF0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6FC3F97B" w14:textId="376E7062" w:rsidR="000B0616" w:rsidRPr="00D01BF0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22DA231D" w14:textId="77777777" w:rsidR="000B0616" w:rsidRPr="00D01BF0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535FB2B7" w14:textId="210B4EB7" w:rsidR="000B0616" w:rsidRPr="00D01BF0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49D77728" w14:textId="77777777" w:rsidR="000B0616" w:rsidRPr="00D01BF0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71A52761" w14:textId="5DA4A9AA" w:rsidR="004B7754" w:rsidRPr="00D01BF0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es"/>
      </w:rPr>
      <w:t>COMISIÓN OCEANOGRÁFICA INTERGUBERNAMENTAL</w:t>
    </w:r>
  </w:p>
  <w:p w14:paraId="67E49D49" w14:textId="77777777" w:rsidR="004B7754" w:rsidRPr="00D01BF0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lang w:val="fr-FR"/>
      </w:rPr>
    </w:pPr>
    <w:r>
      <w:rPr>
        <w:rFonts w:ascii="Arial" w:hAnsi="Arial" w:cs="Arial"/>
        <w:lang w:val="es"/>
      </w:rPr>
      <w:t>(de la UNESCO)</w:t>
    </w:r>
  </w:p>
  <w:p w14:paraId="4872ECD5" w14:textId="77777777" w:rsidR="004B7754" w:rsidRPr="00D01BF0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fr-FR"/>
      </w:rPr>
    </w:pPr>
  </w:p>
  <w:p w14:paraId="7BF4961F" w14:textId="0526E99E" w:rsidR="004B7754" w:rsidRPr="00D01BF0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es"/>
      </w:rPr>
      <w:t>33ª reunión de la Asamblea</w:t>
    </w:r>
  </w:p>
  <w:p w14:paraId="71300EEE" w14:textId="76496228" w:rsidR="004B7754" w:rsidRPr="00D01BF0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lang w:val="es"/>
      </w:rPr>
      <w:t>UNESCO, 25 de junio-3 de julio de 2025</w:t>
    </w:r>
  </w:p>
  <w:p w14:paraId="5BB9C169" w14:textId="77777777" w:rsidR="004B7754" w:rsidRPr="00D01BF0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5D835720" w14:textId="0370426B" w:rsidR="004B7754" w:rsidRPr="00325BF6" w:rsidRDefault="00E50A52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lang w:val="es"/>
      </w:rPr>
      <w:t>orden del día provisional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0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15A2A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6545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4450"/>
    <w:rsid w:val="00265C91"/>
    <w:rsid w:val="00265E4E"/>
    <w:rsid w:val="0027043E"/>
    <w:rsid w:val="00273610"/>
    <w:rsid w:val="00273C68"/>
    <w:rsid w:val="00274181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0D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6894"/>
    <w:rsid w:val="00327059"/>
    <w:rsid w:val="00330F17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565F4"/>
    <w:rsid w:val="00360807"/>
    <w:rsid w:val="003633CE"/>
    <w:rsid w:val="00366C04"/>
    <w:rsid w:val="0037215E"/>
    <w:rsid w:val="003774D6"/>
    <w:rsid w:val="00382463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74E5"/>
    <w:rsid w:val="003F7B89"/>
    <w:rsid w:val="004032DB"/>
    <w:rsid w:val="00403EB2"/>
    <w:rsid w:val="00404410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5F47"/>
    <w:rsid w:val="00437063"/>
    <w:rsid w:val="00437DB1"/>
    <w:rsid w:val="00441F29"/>
    <w:rsid w:val="00441FE3"/>
    <w:rsid w:val="00445307"/>
    <w:rsid w:val="00450AA6"/>
    <w:rsid w:val="00450D22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77DB2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11C3"/>
    <w:rsid w:val="004E2D89"/>
    <w:rsid w:val="004E3446"/>
    <w:rsid w:val="004E48D3"/>
    <w:rsid w:val="004E4A23"/>
    <w:rsid w:val="004E6B90"/>
    <w:rsid w:val="004F0BEC"/>
    <w:rsid w:val="004F5686"/>
    <w:rsid w:val="00510F92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36C7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0AD"/>
    <w:rsid w:val="006122F2"/>
    <w:rsid w:val="00612A3E"/>
    <w:rsid w:val="00613F3F"/>
    <w:rsid w:val="006140DB"/>
    <w:rsid w:val="006157A4"/>
    <w:rsid w:val="006171B8"/>
    <w:rsid w:val="00625EE0"/>
    <w:rsid w:val="00625FE6"/>
    <w:rsid w:val="00630462"/>
    <w:rsid w:val="006327B2"/>
    <w:rsid w:val="006331C8"/>
    <w:rsid w:val="00637621"/>
    <w:rsid w:val="00645699"/>
    <w:rsid w:val="006456D4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A7487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3AB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11B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0A7"/>
    <w:rsid w:val="008148FD"/>
    <w:rsid w:val="00821ABA"/>
    <w:rsid w:val="0082240E"/>
    <w:rsid w:val="0082279D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5DD3"/>
    <w:rsid w:val="008A6D88"/>
    <w:rsid w:val="008A6D93"/>
    <w:rsid w:val="008A7D5D"/>
    <w:rsid w:val="008B19BD"/>
    <w:rsid w:val="008B544A"/>
    <w:rsid w:val="008B569A"/>
    <w:rsid w:val="008C74FA"/>
    <w:rsid w:val="008C78B1"/>
    <w:rsid w:val="008D246B"/>
    <w:rsid w:val="008D5C30"/>
    <w:rsid w:val="008E0DC5"/>
    <w:rsid w:val="008E280C"/>
    <w:rsid w:val="008E5F82"/>
    <w:rsid w:val="008F0135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17BB"/>
    <w:rsid w:val="0096678C"/>
    <w:rsid w:val="00970D2E"/>
    <w:rsid w:val="00971A2F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D7FC5"/>
    <w:rsid w:val="009E05CD"/>
    <w:rsid w:val="009E4F85"/>
    <w:rsid w:val="009E511B"/>
    <w:rsid w:val="009E51C9"/>
    <w:rsid w:val="009E6682"/>
    <w:rsid w:val="009F1EFE"/>
    <w:rsid w:val="009F2CE4"/>
    <w:rsid w:val="009F36AB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4F5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830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0A3C"/>
    <w:rsid w:val="00B61244"/>
    <w:rsid w:val="00B6146B"/>
    <w:rsid w:val="00B64CA2"/>
    <w:rsid w:val="00B64DE3"/>
    <w:rsid w:val="00B6697A"/>
    <w:rsid w:val="00B731A2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0C0C"/>
    <w:rsid w:val="00BC3DCD"/>
    <w:rsid w:val="00BC5A68"/>
    <w:rsid w:val="00BC612B"/>
    <w:rsid w:val="00BC7AE6"/>
    <w:rsid w:val="00BE28A4"/>
    <w:rsid w:val="00BE2960"/>
    <w:rsid w:val="00BE4A26"/>
    <w:rsid w:val="00BE76AB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1BF0"/>
    <w:rsid w:val="00D02605"/>
    <w:rsid w:val="00D12711"/>
    <w:rsid w:val="00D1662F"/>
    <w:rsid w:val="00D204B7"/>
    <w:rsid w:val="00D2050E"/>
    <w:rsid w:val="00D27449"/>
    <w:rsid w:val="00D30A94"/>
    <w:rsid w:val="00D36C3E"/>
    <w:rsid w:val="00D45410"/>
    <w:rsid w:val="00D473EA"/>
    <w:rsid w:val="00D50B1A"/>
    <w:rsid w:val="00D512DE"/>
    <w:rsid w:val="00D52F90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4CD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1B4E"/>
    <w:rsid w:val="00F32E45"/>
    <w:rsid w:val="00F33AB7"/>
    <w:rsid w:val="00F34A3F"/>
    <w:rsid w:val="00F3686B"/>
    <w:rsid w:val="00F36D40"/>
    <w:rsid w:val="00F37E9A"/>
    <w:rsid w:val="00F40E3D"/>
    <w:rsid w:val="00F4275D"/>
    <w:rsid w:val="00F4281E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2E5B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3509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2025-02-24T16:15:00Z</cp:lastPrinted>
  <dcterms:created xsi:type="dcterms:W3CDTF">2025-03-04T08:54:00Z</dcterms:created>
  <dcterms:modified xsi:type="dcterms:W3CDTF">2025-03-04T08:54:00Z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