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1F32" w:rsidRDefault="00000000">
      <w:pPr>
        <w:spacing w:before="240" w:after="240" w:line="276" w:lineRule="auto"/>
        <w:jc w:val="center"/>
        <w:rPr>
          <w:rFonts w:ascii="Arial" w:eastAsia="Arial" w:hAnsi="Arial" w:cs="Arial"/>
          <w:b/>
        </w:rPr>
      </w:pPr>
      <w:bookmarkStart w:id="0" w:name="_cs4opv32iw0d" w:colFirst="0" w:colLast="0"/>
      <w:bookmarkEnd w:id="0"/>
      <w:r>
        <w:rPr>
          <w:rFonts w:ascii="Arial" w:eastAsia="Arial" w:hAnsi="Arial" w:cs="Arial"/>
          <w:b/>
        </w:rPr>
        <w:t xml:space="preserve">ICG/PTWS Working Group 3 on Disaster Risk Management and Preparedness </w:t>
      </w:r>
    </w:p>
    <w:p w:rsidR="00CA3DC1" w:rsidRDefault="00CA3DC1" w:rsidP="00CA3DC1">
      <w:pPr>
        <w:spacing w:line="276" w:lineRule="auto"/>
        <w:jc w:val="center"/>
        <w:rPr>
          <w:rFonts w:ascii="Arial" w:eastAsia="Arial" w:hAnsi="Arial" w:cs="Arial"/>
          <w:b/>
        </w:rPr>
      </w:pPr>
      <w:r>
        <w:rPr>
          <w:rFonts w:ascii="Arial" w:eastAsia="Arial" w:hAnsi="Arial" w:cs="Arial"/>
          <w:b/>
        </w:rPr>
        <w:t>Report to the ICG/PTWS-XXXI</w:t>
      </w:r>
    </w:p>
    <w:p w:rsidR="00CA3DC1" w:rsidRDefault="00CA3DC1" w:rsidP="00CA3DC1">
      <w:pPr>
        <w:spacing w:line="276" w:lineRule="auto"/>
        <w:jc w:val="center"/>
        <w:rPr>
          <w:rFonts w:ascii="Arial" w:eastAsia="Arial" w:hAnsi="Arial" w:cs="Arial"/>
          <w:b/>
        </w:rPr>
      </w:pPr>
      <w:r>
        <w:rPr>
          <w:rFonts w:ascii="Arial" w:eastAsia="Arial" w:hAnsi="Arial" w:cs="Arial"/>
          <w:b/>
        </w:rPr>
        <w:t>April 2025</w:t>
      </w:r>
    </w:p>
    <w:p w:rsidR="00CA3DC1" w:rsidRDefault="00CA3DC1" w:rsidP="00CA3DC1">
      <w:pPr>
        <w:spacing w:line="276" w:lineRule="auto"/>
        <w:jc w:val="center"/>
        <w:rPr>
          <w:rFonts w:ascii="Arial" w:eastAsia="Arial" w:hAnsi="Arial" w:cs="Arial"/>
          <w:b/>
        </w:rPr>
      </w:pPr>
    </w:p>
    <w:p w:rsidR="00CA3DC1" w:rsidRPr="003B4638" w:rsidRDefault="00CA3DC1" w:rsidP="00CA3DC1">
      <w:pPr>
        <w:tabs>
          <w:tab w:val="left" w:pos="1260"/>
        </w:tabs>
        <w:spacing w:line="276" w:lineRule="auto"/>
        <w:rPr>
          <w:rFonts w:ascii="Arial" w:eastAsia="Arial" w:hAnsi="Arial" w:cs="Arial"/>
          <w:bCs/>
          <w:sz w:val="22"/>
          <w:szCs w:val="22"/>
        </w:rPr>
      </w:pPr>
      <w:r w:rsidRPr="003B4638">
        <w:rPr>
          <w:rFonts w:ascii="Arial" w:eastAsia="Arial" w:hAnsi="Arial" w:cs="Arial"/>
          <w:b/>
          <w:sz w:val="22"/>
          <w:szCs w:val="22"/>
        </w:rPr>
        <w:t>C</w:t>
      </w:r>
      <w:r>
        <w:rPr>
          <w:rFonts w:ascii="Arial" w:eastAsia="Arial" w:hAnsi="Arial" w:cs="Arial"/>
          <w:b/>
          <w:sz w:val="22"/>
          <w:szCs w:val="22"/>
        </w:rPr>
        <w:t>o</w:t>
      </w:r>
      <w:r w:rsidRPr="003B4638">
        <w:rPr>
          <w:rFonts w:ascii="Arial" w:eastAsia="Arial" w:hAnsi="Arial" w:cs="Arial"/>
          <w:b/>
          <w:sz w:val="22"/>
          <w:szCs w:val="22"/>
        </w:rPr>
        <w:t xml:space="preserve">-Chairs:  </w:t>
      </w:r>
      <w:r w:rsidRPr="003B4638">
        <w:rPr>
          <w:rFonts w:ascii="Arial" w:eastAsia="Arial" w:hAnsi="Arial" w:cs="Arial"/>
          <w:bCs/>
          <w:sz w:val="22"/>
          <w:szCs w:val="22"/>
        </w:rPr>
        <w:t xml:space="preserve">Ashleigh </w:t>
      </w:r>
      <w:proofErr w:type="spellStart"/>
      <w:r w:rsidRPr="003B4638">
        <w:rPr>
          <w:rFonts w:ascii="Arial" w:eastAsia="Arial" w:hAnsi="Arial" w:cs="Arial"/>
          <w:bCs/>
          <w:sz w:val="22"/>
          <w:szCs w:val="22"/>
        </w:rPr>
        <w:t>Fromont</w:t>
      </w:r>
      <w:proofErr w:type="spellEnd"/>
      <w:r w:rsidRPr="003B4638">
        <w:rPr>
          <w:rFonts w:ascii="Arial" w:eastAsia="Arial" w:hAnsi="Arial" w:cs="Arial"/>
          <w:bCs/>
          <w:sz w:val="22"/>
          <w:szCs w:val="22"/>
        </w:rPr>
        <w:t>, New Zealand National Emergency Management Agency</w:t>
      </w:r>
      <w:r w:rsidRPr="003B4638">
        <w:rPr>
          <w:rFonts w:ascii="Arial" w:eastAsia="Arial" w:hAnsi="Arial" w:cs="Arial"/>
          <w:b/>
          <w:sz w:val="22"/>
          <w:szCs w:val="22"/>
        </w:rPr>
        <w:tab/>
      </w:r>
      <w:r w:rsidRPr="003B4638">
        <w:rPr>
          <w:rFonts w:ascii="Arial" w:eastAsia="Arial" w:hAnsi="Arial" w:cs="Arial"/>
          <w:bCs/>
          <w:sz w:val="22"/>
          <w:szCs w:val="22"/>
        </w:rPr>
        <w:t>Laura Kong, International Tsunami Information Centre</w:t>
      </w:r>
    </w:p>
    <w:p w:rsidR="00CA3DC1" w:rsidRPr="003B4638" w:rsidRDefault="00CA3DC1" w:rsidP="00CA3DC1">
      <w:pPr>
        <w:tabs>
          <w:tab w:val="left" w:pos="1260"/>
        </w:tabs>
        <w:spacing w:line="276" w:lineRule="auto"/>
        <w:ind w:right="-424"/>
        <w:rPr>
          <w:rFonts w:ascii="Arial" w:eastAsia="Arial" w:hAnsi="Arial" w:cs="Arial"/>
          <w:bCs/>
          <w:sz w:val="22"/>
          <w:szCs w:val="22"/>
        </w:rPr>
      </w:pPr>
      <w:r w:rsidRPr="003B4638">
        <w:rPr>
          <w:rFonts w:ascii="Arial" w:eastAsia="Arial" w:hAnsi="Arial" w:cs="Arial"/>
          <w:bCs/>
          <w:sz w:val="22"/>
          <w:szCs w:val="22"/>
        </w:rPr>
        <w:tab/>
      </w:r>
    </w:p>
    <w:p w:rsidR="00CA3DC1" w:rsidRDefault="00CA3DC1" w:rsidP="00CA3DC1">
      <w:pPr>
        <w:spacing w:before="240" w:after="240" w:line="259" w:lineRule="auto"/>
        <w:rPr>
          <w:rFonts w:ascii="Arial" w:eastAsia="Arial" w:hAnsi="Arial" w:cs="Arial"/>
          <w:bCs/>
          <w:sz w:val="22"/>
          <w:szCs w:val="22"/>
        </w:rPr>
      </w:pPr>
      <w:r>
        <w:rPr>
          <w:rFonts w:ascii="Arial" w:eastAsia="Arial" w:hAnsi="Arial" w:cs="Arial"/>
          <w:bCs/>
          <w:sz w:val="22"/>
          <w:szCs w:val="22"/>
        </w:rPr>
        <w:t xml:space="preserve">This Report covers the intersessional period between the ICG/PTWS-XXX (September 2023) and ICG/PTWS-XXXI (April 2025).  The </w:t>
      </w:r>
      <w:r w:rsidR="00E81485">
        <w:rPr>
          <w:rFonts w:ascii="Arial" w:eastAsia="Arial" w:hAnsi="Arial" w:cs="Arial"/>
          <w:bCs/>
          <w:sz w:val="22"/>
          <w:szCs w:val="22"/>
        </w:rPr>
        <w:t>activity topics</w:t>
      </w:r>
      <w:r>
        <w:rPr>
          <w:rFonts w:ascii="Arial" w:eastAsia="Arial" w:hAnsi="Arial" w:cs="Arial"/>
          <w:bCs/>
          <w:sz w:val="22"/>
          <w:szCs w:val="22"/>
        </w:rPr>
        <w:t xml:space="preserve"> to be </w:t>
      </w:r>
      <w:r w:rsidR="00E81485">
        <w:rPr>
          <w:rFonts w:ascii="Arial" w:eastAsia="Arial" w:hAnsi="Arial" w:cs="Arial"/>
          <w:bCs/>
          <w:sz w:val="22"/>
          <w:szCs w:val="22"/>
        </w:rPr>
        <w:t>covered</w:t>
      </w:r>
      <w:r>
        <w:rPr>
          <w:rFonts w:ascii="Arial" w:eastAsia="Arial" w:hAnsi="Arial" w:cs="Arial"/>
          <w:bCs/>
          <w:sz w:val="22"/>
          <w:szCs w:val="22"/>
        </w:rPr>
        <w:t xml:space="preserve"> </w:t>
      </w:r>
      <w:r w:rsidR="00E81485">
        <w:rPr>
          <w:rFonts w:ascii="Arial" w:eastAsia="Arial" w:hAnsi="Arial" w:cs="Arial"/>
          <w:bCs/>
          <w:sz w:val="22"/>
          <w:szCs w:val="22"/>
        </w:rPr>
        <w:t>will follow the WG 3 terms of reference.  WG3 recommendations to the ICG/PTWS are included with each topic and gathered in total in the last section on Governance.</w:t>
      </w:r>
    </w:p>
    <w:p w:rsidR="00111F32" w:rsidRDefault="00000000">
      <w:pPr>
        <w:spacing w:before="240" w:after="240" w:line="276" w:lineRule="auto"/>
        <w:jc w:val="both"/>
        <w:rPr>
          <w:rFonts w:ascii="Arial" w:eastAsia="Arial" w:hAnsi="Arial" w:cs="Arial"/>
          <w:b/>
          <w:sz w:val="22"/>
          <w:szCs w:val="22"/>
        </w:rPr>
      </w:pPr>
      <w:r>
        <w:rPr>
          <w:rFonts w:ascii="Arial" w:eastAsia="Arial" w:hAnsi="Arial" w:cs="Arial"/>
          <w:b/>
          <w:sz w:val="22"/>
          <w:szCs w:val="22"/>
        </w:rPr>
        <w:t xml:space="preserve">Working Group </w:t>
      </w:r>
      <w:r w:rsidR="00CA3DC1">
        <w:rPr>
          <w:rFonts w:ascii="Arial" w:eastAsia="Arial" w:hAnsi="Arial" w:cs="Arial"/>
          <w:b/>
          <w:sz w:val="22"/>
          <w:szCs w:val="22"/>
        </w:rPr>
        <w:t xml:space="preserve">3 </w:t>
      </w:r>
      <w:r>
        <w:rPr>
          <w:rFonts w:ascii="Arial" w:eastAsia="Arial" w:hAnsi="Arial" w:cs="Arial"/>
          <w:b/>
          <w:sz w:val="22"/>
          <w:szCs w:val="22"/>
        </w:rPr>
        <w:t>on Disaster Risk Management and Preparedness Terms of Reference</w:t>
      </w:r>
    </w:p>
    <w:p w:rsidR="00111F32" w:rsidRDefault="00000000">
      <w:pPr>
        <w:numPr>
          <w:ilvl w:val="0"/>
          <w:numId w:val="2"/>
        </w:numPr>
        <w:spacing w:before="240" w:after="240" w:line="259" w:lineRule="auto"/>
        <w:rPr>
          <w:rFonts w:ascii="Arial" w:eastAsia="Arial" w:hAnsi="Arial" w:cs="Arial"/>
          <w:sz w:val="22"/>
          <w:szCs w:val="22"/>
        </w:rPr>
      </w:pPr>
      <w:r>
        <w:rPr>
          <w:rFonts w:ascii="Arial" w:eastAsia="Arial" w:hAnsi="Arial" w:cs="Arial"/>
          <w:sz w:val="22"/>
          <w:szCs w:val="22"/>
        </w:rPr>
        <w:t xml:space="preserve">In collaboration with TOWS TT DMP, and </w:t>
      </w:r>
      <w:proofErr w:type="spellStart"/>
      <w:r>
        <w:rPr>
          <w:rFonts w:ascii="Arial" w:eastAsia="Arial" w:hAnsi="Arial" w:cs="Arial"/>
          <w:sz w:val="22"/>
          <w:szCs w:val="22"/>
        </w:rPr>
        <w:t>organisations</w:t>
      </w:r>
      <w:proofErr w:type="spellEnd"/>
      <w:r>
        <w:rPr>
          <w:rFonts w:ascii="Arial" w:eastAsia="Arial" w:hAnsi="Arial" w:cs="Arial"/>
          <w:sz w:val="22"/>
          <w:szCs w:val="22"/>
        </w:rPr>
        <w:t xml:space="preserve"> such as UNDRR, support the exchange of experiences and information on risk reduction and preparedness actions, and matters related to disaster management </w:t>
      </w:r>
    </w:p>
    <w:p w:rsidR="00111F32" w:rsidRDefault="00000000">
      <w:pPr>
        <w:numPr>
          <w:ilvl w:val="0"/>
          <w:numId w:val="2"/>
        </w:numPr>
        <w:spacing w:before="240" w:after="240" w:line="259" w:lineRule="auto"/>
        <w:rPr>
          <w:rFonts w:ascii="Arial" w:eastAsia="Arial" w:hAnsi="Arial" w:cs="Arial"/>
          <w:sz w:val="22"/>
          <w:szCs w:val="22"/>
        </w:rPr>
      </w:pPr>
      <w:r>
        <w:rPr>
          <w:rFonts w:ascii="Arial" w:eastAsia="Arial" w:hAnsi="Arial" w:cs="Arial"/>
          <w:sz w:val="22"/>
          <w:szCs w:val="22"/>
        </w:rPr>
        <w:t>Promote preparedness in coastal communities through education and awareness products and campaigns</w:t>
      </w:r>
    </w:p>
    <w:p w:rsidR="00111F32" w:rsidRDefault="00000000">
      <w:pPr>
        <w:numPr>
          <w:ilvl w:val="0"/>
          <w:numId w:val="2"/>
        </w:numPr>
        <w:spacing w:before="240" w:after="240" w:line="259" w:lineRule="auto"/>
        <w:rPr>
          <w:rFonts w:ascii="Arial" w:eastAsia="Arial" w:hAnsi="Arial" w:cs="Arial"/>
          <w:sz w:val="22"/>
          <w:szCs w:val="22"/>
        </w:rPr>
      </w:pPr>
      <w:r>
        <w:rPr>
          <w:rFonts w:ascii="Arial" w:eastAsia="Arial" w:hAnsi="Arial" w:cs="Arial"/>
          <w:sz w:val="22"/>
          <w:szCs w:val="22"/>
        </w:rPr>
        <w:t>Facilitate SOP training across regions to strengthen emergency response capabilities of Member States and their DMOs.</w:t>
      </w:r>
    </w:p>
    <w:p w:rsidR="00111F32" w:rsidRDefault="00000000">
      <w:pPr>
        <w:numPr>
          <w:ilvl w:val="0"/>
          <w:numId w:val="2"/>
        </w:numPr>
        <w:spacing w:before="240" w:after="240" w:line="259" w:lineRule="auto"/>
        <w:rPr>
          <w:rFonts w:ascii="Arial" w:eastAsia="Arial" w:hAnsi="Arial" w:cs="Arial"/>
          <w:sz w:val="22"/>
          <w:szCs w:val="22"/>
        </w:rPr>
      </w:pPr>
      <w:r>
        <w:rPr>
          <w:rFonts w:ascii="Arial" w:eastAsia="Arial" w:hAnsi="Arial" w:cs="Arial"/>
          <w:sz w:val="22"/>
          <w:szCs w:val="22"/>
        </w:rPr>
        <w:t xml:space="preserve">Develop and promote best practice preparedness material, </w:t>
      </w:r>
      <w:proofErr w:type="spellStart"/>
      <w:r>
        <w:rPr>
          <w:rFonts w:ascii="Arial" w:eastAsia="Arial" w:hAnsi="Arial" w:cs="Arial"/>
          <w:sz w:val="22"/>
          <w:szCs w:val="22"/>
        </w:rPr>
        <w:t>programmes</w:t>
      </w:r>
      <w:proofErr w:type="spellEnd"/>
      <w:r>
        <w:rPr>
          <w:rFonts w:ascii="Arial" w:eastAsia="Arial" w:hAnsi="Arial" w:cs="Arial"/>
          <w:sz w:val="22"/>
          <w:szCs w:val="22"/>
        </w:rPr>
        <w:t>, and assessment tools</w:t>
      </w:r>
    </w:p>
    <w:p w:rsidR="00111F32" w:rsidRDefault="00000000">
      <w:pPr>
        <w:numPr>
          <w:ilvl w:val="0"/>
          <w:numId w:val="2"/>
        </w:numPr>
        <w:spacing w:before="240" w:after="240" w:line="259" w:lineRule="auto"/>
        <w:rPr>
          <w:rFonts w:ascii="Arial" w:eastAsia="Arial" w:hAnsi="Arial" w:cs="Arial"/>
          <w:sz w:val="22"/>
          <w:szCs w:val="22"/>
        </w:rPr>
      </w:pPr>
      <w:r>
        <w:rPr>
          <w:rFonts w:ascii="Arial" w:eastAsia="Arial" w:hAnsi="Arial" w:cs="Arial"/>
          <w:sz w:val="22"/>
          <w:szCs w:val="22"/>
        </w:rPr>
        <w:t>Develop and promote tsunami risk reduction theory and practice</w:t>
      </w:r>
    </w:p>
    <w:p w:rsidR="00111F32" w:rsidRDefault="00000000">
      <w:pPr>
        <w:numPr>
          <w:ilvl w:val="0"/>
          <w:numId w:val="2"/>
        </w:numPr>
        <w:spacing w:before="240" w:after="240" w:line="259" w:lineRule="auto"/>
        <w:rPr>
          <w:rFonts w:ascii="Arial" w:eastAsia="Arial" w:hAnsi="Arial" w:cs="Arial"/>
          <w:sz w:val="22"/>
          <w:szCs w:val="22"/>
        </w:rPr>
      </w:pPr>
      <w:r>
        <w:rPr>
          <w:rFonts w:ascii="Arial" w:eastAsia="Arial" w:hAnsi="Arial" w:cs="Arial"/>
          <w:sz w:val="22"/>
          <w:szCs w:val="22"/>
        </w:rPr>
        <w:t xml:space="preserve">Support the ITIC of the ICG. </w:t>
      </w:r>
    </w:p>
    <w:p w:rsidR="00111F32" w:rsidRDefault="00000000">
      <w:pPr>
        <w:spacing w:before="240" w:after="240" w:line="259" w:lineRule="auto"/>
        <w:rPr>
          <w:rFonts w:ascii="Arial" w:eastAsia="Arial" w:hAnsi="Arial" w:cs="Arial"/>
          <w:b/>
          <w:sz w:val="22"/>
          <w:szCs w:val="22"/>
        </w:rPr>
      </w:pPr>
      <w:r>
        <w:rPr>
          <w:rFonts w:ascii="Arial" w:eastAsia="Arial" w:hAnsi="Arial" w:cs="Arial"/>
          <w:b/>
          <w:sz w:val="22"/>
          <w:szCs w:val="22"/>
        </w:rPr>
        <w:t xml:space="preserve"> </w:t>
      </w:r>
    </w:p>
    <w:p w:rsidR="00111F32" w:rsidRDefault="00000000">
      <w:pPr>
        <w:spacing w:before="240" w:after="240" w:line="276" w:lineRule="auto"/>
        <w:jc w:val="both"/>
        <w:rPr>
          <w:rFonts w:ascii="Arial" w:eastAsia="Arial" w:hAnsi="Arial" w:cs="Arial"/>
          <w:b/>
          <w:sz w:val="22"/>
          <w:szCs w:val="22"/>
        </w:rPr>
      </w:pPr>
      <w:r>
        <w:rPr>
          <w:rFonts w:ascii="Arial" w:eastAsia="Arial" w:hAnsi="Arial" w:cs="Arial"/>
          <w:b/>
          <w:sz w:val="22"/>
          <w:szCs w:val="22"/>
        </w:rPr>
        <w:t xml:space="preserve"> ACTIVITIES</w:t>
      </w:r>
    </w:p>
    <w:p w:rsidR="00CA3DC1" w:rsidRPr="004D0DA1" w:rsidRDefault="00000000" w:rsidP="00123AAE">
      <w:pPr>
        <w:spacing w:before="240" w:after="240" w:line="276" w:lineRule="auto"/>
        <w:ind w:left="360" w:hanging="360"/>
        <w:rPr>
          <w:rFonts w:ascii="Arial" w:eastAsia="Arial" w:hAnsi="Arial" w:cs="Arial"/>
          <w:b/>
          <w:bCs/>
          <w:sz w:val="22"/>
          <w:szCs w:val="22"/>
          <w:u w:val="single"/>
        </w:rPr>
      </w:pPr>
      <w:r w:rsidRPr="004D0DA1">
        <w:rPr>
          <w:rFonts w:ascii="Arial" w:eastAsia="Arial" w:hAnsi="Arial" w:cs="Arial"/>
          <w:b/>
          <w:bCs/>
          <w:sz w:val="22"/>
          <w:szCs w:val="22"/>
          <w:u w:val="single"/>
        </w:rPr>
        <w:t>1.</w:t>
      </w:r>
      <w:r w:rsidRPr="00DC549D">
        <w:rPr>
          <w:rFonts w:ascii="Arial" w:eastAsia="Arial" w:hAnsi="Arial" w:cs="Arial"/>
          <w:b/>
          <w:bCs/>
          <w:sz w:val="22"/>
          <w:szCs w:val="22"/>
        </w:rPr>
        <w:tab/>
      </w:r>
      <w:r w:rsidRPr="004D0DA1">
        <w:rPr>
          <w:rFonts w:ascii="Arial" w:eastAsia="Arial" w:hAnsi="Arial" w:cs="Arial"/>
          <w:b/>
          <w:bCs/>
          <w:sz w:val="22"/>
          <w:szCs w:val="22"/>
          <w:u w:val="single"/>
        </w:rPr>
        <w:t>Facilitate in collaboration with TOWS Task Team on Disaster Management and Preparedness (TTDMP) and organizations such as UNDRR, the exchange of experiences and information on risk reduction and preparedness actions, and matters related to disaster management</w:t>
      </w:r>
    </w:p>
    <w:p w:rsidR="00111F32" w:rsidRDefault="00000000" w:rsidP="00123AAE">
      <w:pPr>
        <w:spacing w:before="240" w:after="240" w:line="276" w:lineRule="auto"/>
        <w:rPr>
          <w:rFonts w:ascii="Arial" w:eastAsia="Arial" w:hAnsi="Arial" w:cs="Arial"/>
          <w:b/>
          <w:sz w:val="22"/>
          <w:szCs w:val="22"/>
        </w:rPr>
      </w:pPr>
      <w:r>
        <w:rPr>
          <w:rFonts w:ascii="Arial" w:eastAsia="Arial" w:hAnsi="Arial" w:cs="Arial"/>
          <w:b/>
          <w:sz w:val="22"/>
          <w:szCs w:val="22"/>
        </w:rPr>
        <w:t>TOWS TT-DMP</w:t>
      </w:r>
    </w:p>
    <w:p w:rsidR="00111F32" w:rsidRDefault="00000000" w:rsidP="00123AAE">
      <w:pPr>
        <w:spacing w:before="240" w:after="240" w:line="276" w:lineRule="auto"/>
        <w:rPr>
          <w:rFonts w:ascii="Arial" w:eastAsia="Arial" w:hAnsi="Arial" w:cs="Arial"/>
          <w:sz w:val="22"/>
          <w:szCs w:val="22"/>
        </w:rPr>
      </w:pPr>
      <w:r>
        <w:rPr>
          <w:rFonts w:ascii="Arial" w:eastAsia="Arial" w:hAnsi="Arial" w:cs="Arial"/>
          <w:sz w:val="22"/>
          <w:szCs w:val="22"/>
        </w:rPr>
        <w:t xml:space="preserve">The Working Group continued to play an active role in the </w:t>
      </w:r>
      <w:r w:rsidR="006E79D9" w:rsidRPr="006E79D9">
        <w:rPr>
          <w:rFonts w:ascii="Arial" w:eastAsia="Arial" w:hAnsi="Arial" w:cs="Arial"/>
          <w:sz w:val="22"/>
          <w:szCs w:val="22"/>
        </w:rPr>
        <w:t>Working Group on Tsunamis and Other Hazards Related to Sea-Level Warning and Mitigation Systems</w:t>
      </w:r>
      <w:r w:rsidR="006E79D9">
        <w:rPr>
          <w:rFonts w:ascii="Arial" w:eastAsia="Arial" w:hAnsi="Arial" w:cs="Arial"/>
          <w:sz w:val="22"/>
          <w:szCs w:val="22"/>
        </w:rPr>
        <w:t xml:space="preserve"> Inter-ICG Task Team on Disaster Management and Preparedness (</w:t>
      </w:r>
      <w:r>
        <w:rPr>
          <w:rFonts w:ascii="Arial" w:eastAsia="Arial" w:hAnsi="Arial" w:cs="Arial"/>
          <w:sz w:val="22"/>
          <w:szCs w:val="22"/>
        </w:rPr>
        <w:t>TOWS</w:t>
      </w:r>
      <w:r w:rsidR="006E79D9">
        <w:rPr>
          <w:rFonts w:ascii="Arial" w:eastAsia="Arial" w:hAnsi="Arial" w:cs="Arial"/>
          <w:sz w:val="22"/>
          <w:szCs w:val="22"/>
        </w:rPr>
        <w:t xml:space="preserve">-WG </w:t>
      </w:r>
      <w:r>
        <w:rPr>
          <w:rFonts w:ascii="Arial" w:eastAsia="Arial" w:hAnsi="Arial" w:cs="Arial"/>
          <w:sz w:val="22"/>
          <w:szCs w:val="22"/>
        </w:rPr>
        <w:t>TT-DMP</w:t>
      </w:r>
      <w:r w:rsidR="006E79D9">
        <w:rPr>
          <w:rFonts w:ascii="Arial" w:eastAsia="Arial" w:hAnsi="Arial" w:cs="Arial"/>
          <w:sz w:val="22"/>
          <w:szCs w:val="22"/>
        </w:rPr>
        <w:t>)</w:t>
      </w:r>
      <w:r>
        <w:rPr>
          <w:rFonts w:ascii="Arial" w:eastAsia="Arial" w:hAnsi="Arial" w:cs="Arial"/>
          <w:sz w:val="22"/>
          <w:szCs w:val="22"/>
        </w:rPr>
        <w:t xml:space="preserve">, with representatives attending meetings </w:t>
      </w:r>
      <w:r w:rsidR="006E79D9">
        <w:rPr>
          <w:rFonts w:ascii="Arial" w:eastAsia="Arial" w:hAnsi="Arial" w:cs="Arial"/>
          <w:sz w:val="22"/>
          <w:szCs w:val="22"/>
        </w:rPr>
        <w:t>of</w:t>
      </w:r>
      <w:r>
        <w:rPr>
          <w:rFonts w:ascii="Arial" w:eastAsia="Arial" w:hAnsi="Arial" w:cs="Arial"/>
          <w:sz w:val="22"/>
          <w:szCs w:val="22"/>
        </w:rPr>
        <w:t xml:space="preserve"> </w:t>
      </w:r>
      <w:r w:rsidR="006E79D9">
        <w:rPr>
          <w:rFonts w:ascii="Arial" w:eastAsia="Arial" w:hAnsi="Arial" w:cs="Arial"/>
          <w:sz w:val="22"/>
          <w:szCs w:val="22"/>
        </w:rPr>
        <w:t xml:space="preserve">TOWS-WG-XVII in February </w:t>
      </w:r>
      <w:r>
        <w:rPr>
          <w:rFonts w:ascii="Arial" w:eastAsia="Arial" w:hAnsi="Arial" w:cs="Arial"/>
          <w:sz w:val="22"/>
          <w:szCs w:val="22"/>
        </w:rPr>
        <w:t>202</w:t>
      </w:r>
      <w:r w:rsidR="006E79D9">
        <w:rPr>
          <w:rFonts w:ascii="Arial" w:eastAsia="Arial" w:hAnsi="Arial" w:cs="Arial"/>
          <w:sz w:val="22"/>
          <w:szCs w:val="22"/>
        </w:rPr>
        <w:t>4</w:t>
      </w:r>
      <w:r>
        <w:rPr>
          <w:rFonts w:ascii="Arial" w:eastAsia="Arial" w:hAnsi="Arial" w:cs="Arial"/>
          <w:sz w:val="22"/>
          <w:szCs w:val="22"/>
        </w:rPr>
        <w:t xml:space="preserve"> and </w:t>
      </w:r>
      <w:r w:rsidR="006E79D9">
        <w:rPr>
          <w:rFonts w:ascii="Arial" w:eastAsia="Arial" w:hAnsi="Arial" w:cs="Arial"/>
          <w:sz w:val="22"/>
          <w:szCs w:val="22"/>
        </w:rPr>
        <w:t>TOWS-WG-XVII</w:t>
      </w:r>
      <w:r w:rsidR="006E79D9">
        <w:rPr>
          <w:rFonts w:ascii="Arial" w:eastAsia="Arial" w:hAnsi="Arial" w:cs="Arial"/>
          <w:sz w:val="22"/>
          <w:szCs w:val="22"/>
        </w:rPr>
        <w:t xml:space="preserve">I in February </w:t>
      </w:r>
      <w:r>
        <w:rPr>
          <w:rFonts w:ascii="Arial" w:eastAsia="Arial" w:hAnsi="Arial" w:cs="Arial"/>
          <w:sz w:val="22"/>
          <w:szCs w:val="22"/>
        </w:rPr>
        <w:t>202</w:t>
      </w:r>
      <w:r w:rsidR="006E79D9">
        <w:rPr>
          <w:rFonts w:ascii="Arial" w:eastAsia="Arial" w:hAnsi="Arial" w:cs="Arial"/>
          <w:sz w:val="22"/>
          <w:szCs w:val="22"/>
        </w:rPr>
        <w:t>5</w:t>
      </w:r>
      <w:r>
        <w:rPr>
          <w:rFonts w:ascii="Arial" w:eastAsia="Arial" w:hAnsi="Arial" w:cs="Arial"/>
          <w:sz w:val="22"/>
          <w:szCs w:val="22"/>
        </w:rPr>
        <w:t xml:space="preserve">. </w:t>
      </w:r>
    </w:p>
    <w:p w:rsidR="00111F32" w:rsidRDefault="00000000" w:rsidP="00123AAE">
      <w:pPr>
        <w:spacing w:before="240" w:after="240" w:line="276" w:lineRule="auto"/>
        <w:rPr>
          <w:rFonts w:ascii="Arial" w:eastAsia="Arial" w:hAnsi="Arial" w:cs="Arial"/>
          <w:sz w:val="22"/>
          <w:szCs w:val="22"/>
        </w:rPr>
      </w:pPr>
      <w:r>
        <w:rPr>
          <w:rFonts w:ascii="Arial" w:eastAsia="Arial" w:hAnsi="Arial" w:cs="Arial"/>
          <w:sz w:val="22"/>
          <w:szCs w:val="22"/>
        </w:rPr>
        <w:lastRenderedPageBreak/>
        <w:t>At the TOWS-WG-XVI</w:t>
      </w:r>
      <w:r w:rsidR="006E79D9">
        <w:rPr>
          <w:rFonts w:ascii="Arial" w:eastAsia="Arial" w:hAnsi="Arial" w:cs="Arial"/>
          <w:sz w:val="22"/>
          <w:szCs w:val="22"/>
        </w:rPr>
        <w:t>I</w:t>
      </w:r>
      <w:r>
        <w:rPr>
          <w:rFonts w:ascii="Arial" w:eastAsia="Arial" w:hAnsi="Arial" w:cs="Arial"/>
          <w:sz w:val="22"/>
          <w:szCs w:val="22"/>
        </w:rPr>
        <w:t xml:space="preserve">, </w:t>
      </w:r>
      <w:r w:rsidR="006E79D9">
        <w:rPr>
          <w:rFonts w:ascii="Arial" w:eastAsia="Arial" w:hAnsi="Arial" w:cs="Arial"/>
          <w:sz w:val="22"/>
          <w:szCs w:val="22"/>
        </w:rPr>
        <w:t xml:space="preserve">the </w:t>
      </w:r>
      <w:r>
        <w:rPr>
          <w:rFonts w:ascii="Arial" w:eastAsia="Arial" w:hAnsi="Arial" w:cs="Arial"/>
          <w:sz w:val="22"/>
          <w:szCs w:val="22"/>
        </w:rPr>
        <w:t>TOWS-</w:t>
      </w:r>
      <w:r w:rsidR="006E79D9">
        <w:rPr>
          <w:rFonts w:ascii="Arial" w:eastAsia="Arial" w:hAnsi="Arial" w:cs="Arial"/>
          <w:sz w:val="22"/>
          <w:szCs w:val="22"/>
        </w:rPr>
        <w:t xml:space="preserve">WG </w:t>
      </w:r>
      <w:r>
        <w:rPr>
          <w:rFonts w:ascii="Arial" w:eastAsia="Arial" w:hAnsi="Arial" w:cs="Arial"/>
          <w:sz w:val="22"/>
          <w:szCs w:val="22"/>
        </w:rPr>
        <w:t>TT</w:t>
      </w:r>
      <w:r w:rsidR="006E79D9">
        <w:rPr>
          <w:rFonts w:ascii="Arial" w:eastAsia="Arial" w:hAnsi="Arial" w:cs="Arial"/>
          <w:sz w:val="22"/>
          <w:szCs w:val="22"/>
        </w:rPr>
        <w:t>-</w:t>
      </w:r>
      <w:r>
        <w:rPr>
          <w:rFonts w:ascii="Arial" w:eastAsia="Arial" w:hAnsi="Arial" w:cs="Arial"/>
          <w:sz w:val="22"/>
          <w:szCs w:val="22"/>
        </w:rPr>
        <w:t>DMP noted the progress that ICG/PTWS made with regard to ‘Equivalency” for Tsunami Ready and recommended that the Task Team Tsunami Ready share the guidance to TT-DMP for further consideration.  TT-DMP also discussed working on sharing information on requirements and existing methods to warn people with disabilities, considering a number of Tsunami Ready initiatives, including:</w:t>
      </w:r>
    </w:p>
    <w:p w:rsidR="00111F32" w:rsidRPr="004D0DA1" w:rsidRDefault="00000000" w:rsidP="00123AAE">
      <w:pPr>
        <w:pStyle w:val="ListParagraph"/>
        <w:numPr>
          <w:ilvl w:val="0"/>
          <w:numId w:val="10"/>
        </w:numPr>
        <w:spacing w:before="240" w:after="240" w:line="276" w:lineRule="auto"/>
        <w:ind w:left="720"/>
        <w:rPr>
          <w:rFonts w:ascii="Arial" w:eastAsia="Arial" w:hAnsi="Arial" w:cs="Arial"/>
          <w:sz w:val="22"/>
          <w:szCs w:val="22"/>
        </w:rPr>
      </w:pPr>
      <w:r w:rsidRPr="004D0DA1">
        <w:rPr>
          <w:rFonts w:ascii="Arial" w:eastAsia="Arial" w:hAnsi="Arial" w:cs="Arial"/>
          <w:sz w:val="22"/>
          <w:szCs w:val="22"/>
        </w:rPr>
        <w:t>Tsunami Ready Evaluation form (currently in ICG/CARIBE EWS)</w:t>
      </w:r>
    </w:p>
    <w:p w:rsidR="00111F32" w:rsidRPr="004D0DA1" w:rsidRDefault="00000000" w:rsidP="00123AAE">
      <w:pPr>
        <w:pStyle w:val="ListParagraph"/>
        <w:numPr>
          <w:ilvl w:val="0"/>
          <w:numId w:val="10"/>
        </w:numPr>
        <w:spacing w:before="240" w:after="240" w:line="276" w:lineRule="auto"/>
        <w:ind w:left="720"/>
        <w:rPr>
          <w:rFonts w:ascii="Arial" w:eastAsia="Arial" w:hAnsi="Arial" w:cs="Arial"/>
          <w:sz w:val="22"/>
          <w:szCs w:val="22"/>
        </w:rPr>
      </w:pPr>
      <w:r w:rsidRPr="004D0DA1">
        <w:rPr>
          <w:rFonts w:ascii="Arial" w:eastAsia="Arial" w:hAnsi="Arial" w:cs="Arial"/>
          <w:sz w:val="22"/>
          <w:szCs w:val="22"/>
        </w:rPr>
        <w:t>Tsunami Ready Focal Points (currently in ICG/IOTWMS)</w:t>
      </w:r>
    </w:p>
    <w:p w:rsidR="00111F32" w:rsidRPr="004D0DA1" w:rsidRDefault="00000000" w:rsidP="00123AAE">
      <w:pPr>
        <w:pStyle w:val="ListParagraph"/>
        <w:numPr>
          <w:ilvl w:val="0"/>
          <w:numId w:val="10"/>
        </w:numPr>
        <w:spacing w:before="240" w:after="240" w:line="276" w:lineRule="auto"/>
        <w:ind w:left="720"/>
        <w:rPr>
          <w:rFonts w:ascii="Arial" w:eastAsia="Arial" w:hAnsi="Arial" w:cs="Arial"/>
          <w:sz w:val="22"/>
          <w:szCs w:val="22"/>
        </w:rPr>
      </w:pPr>
      <w:r w:rsidRPr="004D0DA1">
        <w:rPr>
          <w:rFonts w:ascii="Arial" w:eastAsia="Arial" w:hAnsi="Arial" w:cs="Arial"/>
          <w:sz w:val="22"/>
          <w:szCs w:val="22"/>
        </w:rPr>
        <w:t>ISO22328-3 for large scale private sector Tsunami Ready</w:t>
      </w:r>
    </w:p>
    <w:p w:rsidR="00111F32" w:rsidRDefault="00000000" w:rsidP="00123AAE">
      <w:pPr>
        <w:pBdr>
          <w:top w:val="nil"/>
          <w:left w:val="nil"/>
          <w:bottom w:val="nil"/>
          <w:right w:val="nil"/>
          <w:between w:val="nil"/>
        </w:pBdr>
        <w:spacing w:before="240" w:after="240" w:line="276" w:lineRule="auto"/>
        <w:rPr>
          <w:rFonts w:ascii="Arial" w:eastAsia="Arial" w:hAnsi="Arial" w:cs="Arial"/>
          <w:color w:val="000000"/>
          <w:sz w:val="22"/>
          <w:szCs w:val="22"/>
        </w:rPr>
      </w:pPr>
      <w:r>
        <w:rPr>
          <w:rFonts w:ascii="Arial" w:eastAsia="Arial" w:hAnsi="Arial" w:cs="Arial"/>
          <w:color w:val="000000"/>
          <w:sz w:val="22"/>
          <w:szCs w:val="22"/>
        </w:rPr>
        <w:t>At the TOWS-WG-XVII</w:t>
      </w:r>
      <w:r w:rsidR="006E79D9">
        <w:rPr>
          <w:rFonts w:ascii="Arial" w:eastAsia="Arial" w:hAnsi="Arial" w:cs="Arial"/>
          <w:color w:val="000000"/>
          <w:sz w:val="22"/>
          <w:szCs w:val="22"/>
        </w:rPr>
        <w:t>I</w:t>
      </w:r>
      <w:r>
        <w:rPr>
          <w:rFonts w:ascii="Arial" w:eastAsia="Arial" w:hAnsi="Arial" w:cs="Arial"/>
          <w:color w:val="000000"/>
          <w:sz w:val="22"/>
          <w:szCs w:val="22"/>
        </w:rPr>
        <w:t>, TOWS-TT DMP again</w:t>
      </w:r>
      <w:r>
        <w:rPr>
          <w:rFonts w:ascii="Arial" w:eastAsia="Arial" w:hAnsi="Arial" w:cs="Arial"/>
          <w:sz w:val="22"/>
          <w:szCs w:val="22"/>
        </w:rPr>
        <w:t xml:space="preserve"> </w:t>
      </w:r>
      <w:r>
        <w:rPr>
          <w:rFonts w:ascii="Arial" w:eastAsia="Arial" w:hAnsi="Arial" w:cs="Arial"/>
          <w:color w:val="000000"/>
          <w:sz w:val="22"/>
          <w:szCs w:val="22"/>
        </w:rPr>
        <w:t>appreciated the progress made for establishing the Tsunami Ready Equivalence for the PTWS</w:t>
      </w:r>
      <w:r w:rsidR="006E79D9">
        <w:rPr>
          <w:rFonts w:ascii="Arial" w:eastAsia="Arial" w:hAnsi="Arial" w:cs="Arial"/>
          <w:color w:val="000000"/>
          <w:sz w:val="22"/>
          <w:szCs w:val="22"/>
        </w:rPr>
        <w:t xml:space="preserve"> </w:t>
      </w:r>
      <w:r>
        <w:rPr>
          <w:rFonts w:ascii="Arial" w:eastAsia="Arial" w:hAnsi="Arial" w:cs="Arial"/>
          <w:color w:val="000000"/>
          <w:sz w:val="22"/>
          <w:szCs w:val="22"/>
        </w:rPr>
        <w:t>by developing a draft guidance using the Tsunami Ready indicators as a foundation, and also noted that the PTWS will explore ways to further recognize and promote the benefits of formal Tsunami Ready Recognition, which remains the preferred approach.</w:t>
      </w:r>
    </w:p>
    <w:p w:rsidR="00111F32" w:rsidRDefault="00000000" w:rsidP="00123AAE">
      <w:pPr>
        <w:pBdr>
          <w:top w:val="nil"/>
          <w:left w:val="nil"/>
          <w:bottom w:val="nil"/>
          <w:right w:val="nil"/>
          <w:between w:val="nil"/>
        </w:pBdr>
        <w:spacing w:before="240" w:after="240" w:line="276" w:lineRule="auto"/>
        <w:rPr>
          <w:rFonts w:ascii="Arial" w:eastAsia="Arial" w:hAnsi="Arial" w:cs="Arial"/>
          <w:color w:val="000000"/>
          <w:sz w:val="22"/>
          <w:szCs w:val="22"/>
        </w:rPr>
      </w:pPr>
      <w:r>
        <w:rPr>
          <w:rFonts w:ascii="Arial" w:eastAsia="Arial" w:hAnsi="Arial" w:cs="Arial"/>
          <w:color w:val="000000"/>
          <w:sz w:val="22"/>
          <w:szCs w:val="22"/>
        </w:rPr>
        <w:t>TOWS TT-DMP discussion included key future governance questions</w:t>
      </w:r>
      <w:r w:rsidR="00BA01AC">
        <w:rPr>
          <w:rFonts w:ascii="Arial" w:eastAsia="Arial" w:hAnsi="Arial" w:cs="Arial"/>
          <w:color w:val="000000"/>
          <w:sz w:val="22"/>
          <w:szCs w:val="22"/>
        </w:rPr>
        <w:t xml:space="preserve"> for Tsunami Ready</w:t>
      </w:r>
      <w:r w:rsidR="00DD27EE">
        <w:rPr>
          <w:rFonts w:ascii="Arial" w:eastAsia="Arial" w:hAnsi="Arial" w:cs="Arial"/>
          <w:color w:val="000000"/>
          <w:sz w:val="22"/>
          <w:szCs w:val="22"/>
        </w:rPr>
        <w:t xml:space="preserve"> in the context of overall tsunami disaster risk reduction</w:t>
      </w:r>
      <w:r>
        <w:rPr>
          <w:rFonts w:ascii="Arial" w:eastAsia="Arial" w:hAnsi="Arial" w:cs="Arial"/>
          <w:color w:val="000000"/>
          <w:sz w:val="22"/>
          <w:szCs w:val="22"/>
        </w:rPr>
        <w:t>:</w:t>
      </w:r>
    </w:p>
    <w:p w:rsidR="00111F32" w:rsidRDefault="00000000" w:rsidP="00123AAE">
      <w:pPr>
        <w:numPr>
          <w:ilvl w:val="0"/>
          <w:numId w:val="3"/>
        </w:numPr>
        <w:pBdr>
          <w:top w:val="nil"/>
          <w:left w:val="nil"/>
          <w:bottom w:val="nil"/>
          <w:right w:val="nil"/>
          <w:between w:val="nil"/>
        </w:pBdr>
        <w:spacing w:before="240" w:after="240" w:line="276" w:lineRule="auto"/>
        <w:rPr>
          <w:i/>
          <w:color w:val="000000"/>
          <w:sz w:val="22"/>
          <w:szCs w:val="22"/>
        </w:rPr>
      </w:pPr>
      <w:r>
        <w:rPr>
          <w:rFonts w:ascii="Arial" w:eastAsia="Arial" w:hAnsi="Arial" w:cs="Arial"/>
          <w:i/>
          <w:color w:val="000000"/>
          <w:sz w:val="22"/>
          <w:szCs w:val="22"/>
        </w:rPr>
        <w:t>How should Tsunami Ready evolve at a policy and national level? How can UNESCO-IOC sustainably engage with both Member States and communities?</w:t>
      </w:r>
    </w:p>
    <w:p w:rsidR="00111F32" w:rsidRDefault="00000000" w:rsidP="00123AAE">
      <w:pPr>
        <w:numPr>
          <w:ilvl w:val="0"/>
          <w:numId w:val="3"/>
        </w:numPr>
        <w:pBdr>
          <w:top w:val="nil"/>
          <w:left w:val="nil"/>
          <w:bottom w:val="nil"/>
          <w:right w:val="nil"/>
          <w:between w:val="nil"/>
        </w:pBdr>
        <w:spacing w:after="160"/>
        <w:rPr>
          <w:color w:val="000000"/>
          <w:sz w:val="22"/>
          <w:szCs w:val="22"/>
        </w:rPr>
      </w:pPr>
      <w:r>
        <w:rPr>
          <w:rFonts w:ascii="Arial" w:eastAsia="Arial" w:hAnsi="Arial" w:cs="Arial"/>
          <w:i/>
          <w:color w:val="000000"/>
          <w:sz w:val="22"/>
          <w:szCs w:val="22"/>
        </w:rPr>
        <w:t xml:space="preserve">How Member States adapt/streamline the </w:t>
      </w:r>
      <w:proofErr w:type="spellStart"/>
      <w:r w:rsidR="00BA01AC">
        <w:rPr>
          <w:rFonts w:ascii="Arial" w:eastAsia="Arial" w:hAnsi="Arial" w:cs="Arial"/>
          <w:i/>
          <w:color w:val="000000"/>
          <w:sz w:val="22"/>
          <w:szCs w:val="22"/>
        </w:rPr>
        <w:t>p</w:t>
      </w:r>
      <w:r>
        <w:rPr>
          <w:rFonts w:ascii="Arial" w:eastAsia="Arial" w:hAnsi="Arial" w:cs="Arial"/>
          <w:i/>
          <w:color w:val="000000"/>
          <w:sz w:val="22"/>
          <w:szCs w:val="22"/>
        </w:rPr>
        <w:t>rogramme</w:t>
      </w:r>
      <w:proofErr w:type="spellEnd"/>
      <w:r>
        <w:rPr>
          <w:rFonts w:ascii="Arial" w:eastAsia="Arial" w:hAnsi="Arial" w:cs="Arial"/>
          <w:i/>
          <w:color w:val="000000"/>
          <w:sz w:val="22"/>
          <w:szCs w:val="22"/>
        </w:rPr>
        <w:t xml:space="preserve"> into their national disaster risk reduction legislative framework?</w:t>
      </w:r>
    </w:p>
    <w:p w:rsidR="00111F32" w:rsidRDefault="00000000" w:rsidP="00123AAE">
      <w:pPr>
        <w:pBdr>
          <w:top w:val="nil"/>
          <w:left w:val="nil"/>
          <w:bottom w:val="nil"/>
          <w:right w:val="nil"/>
          <w:between w:val="nil"/>
        </w:pBdr>
        <w:spacing w:before="240" w:after="240" w:line="276" w:lineRule="auto"/>
        <w:rPr>
          <w:rFonts w:ascii="Arial" w:eastAsia="Arial" w:hAnsi="Arial" w:cs="Arial"/>
          <w:color w:val="000000"/>
          <w:sz w:val="22"/>
          <w:szCs w:val="22"/>
        </w:rPr>
      </w:pPr>
      <w:r>
        <w:rPr>
          <w:rFonts w:ascii="Arial" w:eastAsia="Arial" w:hAnsi="Arial" w:cs="Arial"/>
          <w:color w:val="000000"/>
          <w:sz w:val="22"/>
          <w:szCs w:val="22"/>
        </w:rPr>
        <w:t xml:space="preserve">The </w:t>
      </w:r>
      <w:r w:rsidR="006E79D9">
        <w:rPr>
          <w:rFonts w:ascii="Arial" w:eastAsia="Arial" w:hAnsi="Arial" w:cs="Arial"/>
          <w:color w:val="000000"/>
          <w:sz w:val="22"/>
          <w:szCs w:val="22"/>
        </w:rPr>
        <w:t>TT-DMP</w:t>
      </w:r>
      <w:r>
        <w:rPr>
          <w:rFonts w:ascii="Arial" w:eastAsia="Arial" w:hAnsi="Arial" w:cs="Arial"/>
          <w:color w:val="000000"/>
          <w:sz w:val="22"/>
          <w:szCs w:val="22"/>
        </w:rPr>
        <w:t xml:space="preserve"> will continue to address these questions, along with the further following in the intersessional period:</w:t>
      </w:r>
    </w:p>
    <w:p w:rsidR="00111F32" w:rsidRDefault="00000000" w:rsidP="00123AAE">
      <w:pPr>
        <w:numPr>
          <w:ilvl w:val="0"/>
          <w:numId w:val="4"/>
        </w:numPr>
        <w:pBdr>
          <w:top w:val="nil"/>
          <w:left w:val="nil"/>
          <w:bottom w:val="nil"/>
          <w:right w:val="nil"/>
          <w:between w:val="nil"/>
        </w:pBdr>
        <w:spacing w:before="280" w:line="276" w:lineRule="auto"/>
        <w:rPr>
          <w:color w:val="000000"/>
          <w:sz w:val="22"/>
          <w:szCs w:val="22"/>
        </w:rPr>
      </w:pPr>
      <w:r>
        <w:rPr>
          <w:rFonts w:ascii="Arial" w:eastAsia="Arial" w:hAnsi="Arial" w:cs="Arial"/>
          <w:i/>
          <w:color w:val="000000"/>
          <w:sz w:val="22"/>
          <w:szCs w:val="22"/>
        </w:rPr>
        <w:t>How to deal with other interests &amp; complex and particular situations (entire coast, schools etc.?)</w:t>
      </w:r>
    </w:p>
    <w:p w:rsidR="00111F32" w:rsidRDefault="00000000" w:rsidP="00123AAE">
      <w:pPr>
        <w:numPr>
          <w:ilvl w:val="0"/>
          <w:numId w:val="4"/>
        </w:numPr>
        <w:pBdr>
          <w:top w:val="nil"/>
          <w:left w:val="nil"/>
          <w:bottom w:val="nil"/>
          <w:right w:val="nil"/>
          <w:between w:val="nil"/>
        </w:pBdr>
        <w:spacing w:line="276" w:lineRule="auto"/>
        <w:rPr>
          <w:color w:val="000000"/>
          <w:sz w:val="22"/>
          <w:szCs w:val="22"/>
        </w:rPr>
      </w:pPr>
      <w:r>
        <w:rPr>
          <w:rFonts w:ascii="Arial" w:eastAsia="Arial" w:hAnsi="Arial" w:cs="Arial"/>
          <w:i/>
          <w:color w:val="000000"/>
          <w:sz w:val="22"/>
          <w:szCs w:val="22"/>
        </w:rPr>
        <w:t>How to deal with the interest and needs of critical infrastructure, i.e</w:t>
      </w:r>
      <w:r w:rsidR="006E79D9">
        <w:rPr>
          <w:rFonts w:ascii="Arial" w:eastAsia="Arial" w:hAnsi="Arial" w:cs="Arial"/>
          <w:i/>
          <w:color w:val="000000"/>
          <w:sz w:val="22"/>
          <w:szCs w:val="22"/>
        </w:rPr>
        <w:t>.,</w:t>
      </w:r>
      <w:r>
        <w:rPr>
          <w:rFonts w:ascii="Arial" w:eastAsia="Arial" w:hAnsi="Arial" w:cs="Arial"/>
          <w:i/>
          <w:color w:val="000000"/>
          <w:sz w:val="22"/>
          <w:szCs w:val="22"/>
        </w:rPr>
        <w:t xml:space="preserve"> airport and port</w:t>
      </w:r>
    </w:p>
    <w:p w:rsidR="00111F32" w:rsidRDefault="00000000" w:rsidP="00123AAE">
      <w:pPr>
        <w:numPr>
          <w:ilvl w:val="0"/>
          <w:numId w:val="4"/>
        </w:numPr>
        <w:pBdr>
          <w:top w:val="nil"/>
          <w:left w:val="nil"/>
          <w:bottom w:val="nil"/>
          <w:right w:val="nil"/>
          <w:between w:val="nil"/>
        </w:pBdr>
        <w:spacing w:line="276" w:lineRule="auto"/>
        <w:rPr>
          <w:color w:val="000000"/>
          <w:sz w:val="22"/>
          <w:szCs w:val="22"/>
        </w:rPr>
      </w:pPr>
      <w:r>
        <w:rPr>
          <w:rFonts w:ascii="Arial" w:eastAsia="Arial" w:hAnsi="Arial" w:cs="Arial"/>
          <w:i/>
          <w:color w:val="000000"/>
          <w:sz w:val="22"/>
          <w:szCs w:val="22"/>
        </w:rPr>
        <w:t xml:space="preserve">How to deal with the interest and needs of hazardous vital infrastructure, </w:t>
      </w:r>
      <w:proofErr w:type="gramStart"/>
      <w:r>
        <w:rPr>
          <w:rFonts w:ascii="Arial" w:eastAsia="Arial" w:hAnsi="Arial" w:cs="Arial"/>
          <w:i/>
          <w:color w:val="000000"/>
          <w:sz w:val="22"/>
          <w:szCs w:val="22"/>
        </w:rPr>
        <w:t>i.e</w:t>
      </w:r>
      <w:r w:rsidR="006E79D9">
        <w:rPr>
          <w:rFonts w:ascii="Arial" w:eastAsia="Arial" w:hAnsi="Arial" w:cs="Arial"/>
          <w:i/>
          <w:color w:val="000000"/>
          <w:sz w:val="22"/>
          <w:szCs w:val="22"/>
        </w:rPr>
        <w:t>.,</w:t>
      </w:r>
      <w:r>
        <w:rPr>
          <w:rFonts w:ascii="Arial" w:eastAsia="Arial" w:hAnsi="Arial" w:cs="Arial"/>
          <w:i/>
          <w:color w:val="000000"/>
          <w:sz w:val="22"/>
          <w:szCs w:val="22"/>
        </w:rPr>
        <w:t>.</w:t>
      </w:r>
      <w:proofErr w:type="gramEnd"/>
      <w:r>
        <w:rPr>
          <w:rFonts w:ascii="Arial" w:eastAsia="Arial" w:hAnsi="Arial" w:cs="Arial"/>
          <w:i/>
          <w:color w:val="000000"/>
          <w:sz w:val="22"/>
          <w:szCs w:val="22"/>
        </w:rPr>
        <w:t xml:space="preserve"> industrial zone, power plan</w:t>
      </w:r>
    </w:p>
    <w:p w:rsidR="00111F32" w:rsidRDefault="00000000" w:rsidP="00123AAE">
      <w:pPr>
        <w:numPr>
          <w:ilvl w:val="0"/>
          <w:numId w:val="4"/>
        </w:numPr>
        <w:pBdr>
          <w:top w:val="nil"/>
          <w:left w:val="nil"/>
          <w:bottom w:val="nil"/>
          <w:right w:val="nil"/>
          <w:between w:val="nil"/>
        </w:pBdr>
        <w:spacing w:after="280" w:line="276" w:lineRule="auto"/>
        <w:rPr>
          <w:color w:val="000000"/>
          <w:sz w:val="22"/>
          <w:szCs w:val="22"/>
        </w:rPr>
      </w:pPr>
      <w:r>
        <w:rPr>
          <w:rFonts w:ascii="Arial" w:eastAsia="Arial" w:hAnsi="Arial" w:cs="Arial"/>
          <w:i/>
          <w:color w:val="000000"/>
          <w:sz w:val="22"/>
          <w:szCs w:val="22"/>
        </w:rPr>
        <w:t>Alignment of Tsunami Ready Evaluation Survey and the Tsunami Event Post Assessment Questionnaire</w:t>
      </w:r>
    </w:p>
    <w:p w:rsidR="00111F32" w:rsidRDefault="00000000" w:rsidP="00123AAE">
      <w:pPr>
        <w:pBdr>
          <w:top w:val="nil"/>
          <w:left w:val="nil"/>
          <w:bottom w:val="nil"/>
          <w:right w:val="nil"/>
          <w:between w:val="nil"/>
        </w:pBdr>
        <w:spacing w:before="280" w:after="280" w:line="276" w:lineRule="auto"/>
        <w:rPr>
          <w:rFonts w:ascii="Arial" w:eastAsia="Arial" w:hAnsi="Arial" w:cs="Arial"/>
          <w:color w:val="000000"/>
          <w:sz w:val="22"/>
          <w:szCs w:val="22"/>
        </w:rPr>
      </w:pPr>
      <w:r>
        <w:rPr>
          <w:rFonts w:ascii="Arial" w:eastAsia="Arial" w:hAnsi="Arial" w:cs="Arial"/>
          <w:color w:val="000000"/>
          <w:sz w:val="22"/>
          <w:szCs w:val="22"/>
        </w:rPr>
        <w:t>The TT</w:t>
      </w:r>
      <w:r w:rsidR="006E79D9">
        <w:rPr>
          <w:rFonts w:ascii="Arial" w:eastAsia="Arial" w:hAnsi="Arial" w:cs="Arial"/>
          <w:color w:val="000000"/>
          <w:sz w:val="22"/>
          <w:szCs w:val="22"/>
        </w:rPr>
        <w:t>-</w:t>
      </w:r>
      <w:r>
        <w:rPr>
          <w:rFonts w:ascii="Arial" w:eastAsia="Arial" w:hAnsi="Arial" w:cs="Arial"/>
          <w:color w:val="000000"/>
          <w:sz w:val="22"/>
          <w:szCs w:val="22"/>
        </w:rPr>
        <w:t>DMP meetings and discussion continue to provide a valuable mechanism for global coordination and collaboration on similar challenges across ICGs.</w:t>
      </w:r>
    </w:p>
    <w:p w:rsidR="006E79D9" w:rsidRDefault="006E79D9" w:rsidP="00123AAE">
      <w:pPr>
        <w:pBdr>
          <w:top w:val="nil"/>
          <w:left w:val="nil"/>
          <w:bottom w:val="nil"/>
          <w:right w:val="nil"/>
          <w:between w:val="nil"/>
        </w:pBdr>
        <w:spacing w:before="280" w:after="280" w:line="276" w:lineRule="auto"/>
        <w:rPr>
          <w:rFonts w:ascii="Arial" w:eastAsia="Arial" w:hAnsi="Arial" w:cs="Arial"/>
          <w:sz w:val="22"/>
          <w:szCs w:val="22"/>
        </w:rPr>
      </w:pPr>
      <w:r>
        <w:rPr>
          <w:rFonts w:ascii="Arial" w:eastAsia="Arial" w:hAnsi="Arial" w:cs="Arial"/>
          <w:color w:val="000000"/>
          <w:sz w:val="22"/>
          <w:szCs w:val="22"/>
        </w:rPr>
        <w:t xml:space="preserve">During the next intersessional period, the PTWS WG 3 will take note of the TT-DMP </w:t>
      </w:r>
      <w:r>
        <w:rPr>
          <w:rFonts w:ascii="Arial" w:eastAsia="Arial" w:hAnsi="Arial" w:cs="Arial"/>
          <w:color w:val="000000"/>
          <w:sz w:val="22"/>
          <w:szCs w:val="22"/>
        </w:rPr>
        <w:t>key future governance questions</w:t>
      </w:r>
      <w:r>
        <w:rPr>
          <w:rFonts w:ascii="Arial" w:eastAsia="Arial" w:hAnsi="Arial" w:cs="Arial"/>
          <w:color w:val="000000"/>
          <w:sz w:val="22"/>
          <w:szCs w:val="22"/>
        </w:rPr>
        <w:t>, and provide input</w:t>
      </w:r>
      <w:r w:rsidR="00DD27EE">
        <w:rPr>
          <w:rFonts w:ascii="Arial" w:eastAsia="Arial" w:hAnsi="Arial" w:cs="Arial"/>
          <w:color w:val="000000"/>
          <w:sz w:val="22"/>
          <w:szCs w:val="22"/>
        </w:rPr>
        <w:t xml:space="preserve"> in the context of overall tsunami disaster risk redu</w:t>
      </w:r>
      <w:r w:rsidR="00C33F7D">
        <w:rPr>
          <w:rFonts w:ascii="Arial" w:eastAsia="Arial" w:hAnsi="Arial" w:cs="Arial"/>
          <w:color w:val="000000"/>
          <w:sz w:val="22"/>
          <w:szCs w:val="22"/>
        </w:rPr>
        <w:t>c</w:t>
      </w:r>
      <w:r w:rsidR="00DD27EE">
        <w:rPr>
          <w:rFonts w:ascii="Arial" w:eastAsia="Arial" w:hAnsi="Arial" w:cs="Arial"/>
          <w:color w:val="000000"/>
          <w:sz w:val="22"/>
          <w:szCs w:val="22"/>
        </w:rPr>
        <w:t>tion</w:t>
      </w:r>
      <w:r>
        <w:rPr>
          <w:rFonts w:ascii="Arial" w:eastAsia="Arial" w:hAnsi="Arial" w:cs="Arial"/>
          <w:color w:val="000000"/>
          <w:sz w:val="22"/>
          <w:szCs w:val="22"/>
        </w:rPr>
        <w:t xml:space="preserve"> from the PTWS for the next TT-DMP sessions in 2026 and 2067.</w:t>
      </w:r>
    </w:p>
    <w:tbl>
      <w:tblPr>
        <w:tblStyle w:val="a"/>
        <w:tblW w:w="9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0"/>
      </w:tblGrid>
      <w:tr w:rsidR="00111F32">
        <w:tc>
          <w:tcPr>
            <w:tcW w:w="9020" w:type="dxa"/>
            <w:shd w:val="clear" w:color="auto" w:fill="auto"/>
            <w:tcMar>
              <w:top w:w="100" w:type="dxa"/>
              <w:left w:w="100" w:type="dxa"/>
              <w:bottom w:w="100" w:type="dxa"/>
              <w:right w:w="100" w:type="dxa"/>
            </w:tcMar>
          </w:tcPr>
          <w:p w:rsidR="00111F32" w:rsidRDefault="00000000" w:rsidP="000A4DF9">
            <w:pPr>
              <w:spacing w:after="160" w:line="259" w:lineRule="auto"/>
              <w:rPr>
                <w:rFonts w:ascii="Arial" w:eastAsia="Arial" w:hAnsi="Arial" w:cs="Arial"/>
                <w:sz w:val="22"/>
                <w:szCs w:val="22"/>
              </w:rPr>
            </w:pPr>
            <w:r>
              <w:rPr>
                <w:rFonts w:ascii="Arial" w:eastAsia="Arial" w:hAnsi="Arial" w:cs="Arial"/>
                <w:sz w:val="22"/>
                <w:szCs w:val="22"/>
              </w:rPr>
              <w:t xml:space="preserve">Working Group Three </w:t>
            </w:r>
            <w:r w:rsidR="00DE48D7" w:rsidRPr="00DE48D7">
              <w:rPr>
                <w:rFonts w:ascii="Arial" w:eastAsia="Arial" w:hAnsi="Arial" w:cs="Arial"/>
                <w:sz w:val="22"/>
                <w:szCs w:val="22"/>
              </w:rPr>
              <w:t>recommendation to</w:t>
            </w:r>
            <w:r w:rsidR="00DE48D7" w:rsidRPr="000A4DF9">
              <w:rPr>
                <w:rFonts w:ascii="Arial" w:eastAsia="Arial" w:hAnsi="Arial" w:cs="Arial"/>
                <w:b/>
                <w:bCs/>
                <w:sz w:val="22"/>
                <w:szCs w:val="22"/>
              </w:rPr>
              <w:t xml:space="preserve"> </w:t>
            </w:r>
            <w:r>
              <w:rPr>
                <w:rFonts w:ascii="Arial" w:eastAsia="Arial" w:hAnsi="Arial" w:cs="Arial"/>
                <w:sz w:val="22"/>
                <w:szCs w:val="22"/>
              </w:rPr>
              <w:t>the ICG/PTWS:</w:t>
            </w:r>
          </w:p>
          <w:p w:rsidR="00111F32" w:rsidRDefault="00000000" w:rsidP="000A4DF9">
            <w:pPr>
              <w:spacing w:before="120" w:after="120" w:line="278" w:lineRule="auto"/>
              <w:ind w:right="14"/>
              <w:rPr>
                <w:rFonts w:ascii="Arial" w:eastAsia="Arial" w:hAnsi="Arial" w:cs="Arial"/>
                <w:sz w:val="22"/>
                <w:szCs w:val="22"/>
              </w:rPr>
            </w:pPr>
            <w:r w:rsidRPr="000A4DF9">
              <w:rPr>
                <w:rFonts w:ascii="Arial" w:eastAsia="Arial" w:hAnsi="Arial" w:cs="Arial"/>
                <w:b/>
                <w:bCs/>
                <w:sz w:val="22"/>
                <w:szCs w:val="22"/>
              </w:rPr>
              <w:t>Notes</w:t>
            </w:r>
            <w:r w:rsidRPr="000A4DF9">
              <w:rPr>
                <w:rFonts w:ascii="Arial" w:eastAsia="Arial" w:hAnsi="Arial" w:cs="Arial"/>
                <w:sz w:val="22"/>
                <w:szCs w:val="22"/>
              </w:rPr>
              <w:t xml:space="preserve"> </w:t>
            </w:r>
            <w:r>
              <w:rPr>
                <w:rFonts w:ascii="Arial" w:eastAsia="Arial" w:hAnsi="Arial" w:cs="Arial"/>
                <w:sz w:val="22"/>
                <w:szCs w:val="22"/>
              </w:rPr>
              <w:t xml:space="preserve">the importance of global awareness and collaboration on challenges and opportunities relating to tsunami disaster management and preparedness, and particularly regarding the implementation of the Tsunami Ready Recognition </w:t>
            </w:r>
            <w:proofErr w:type="spellStart"/>
            <w:r>
              <w:rPr>
                <w:rFonts w:ascii="Arial" w:eastAsia="Arial" w:hAnsi="Arial" w:cs="Arial"/>
                <w:sz w:val="22"/>
                <w:szCs w:val="22"/>
              </w:rPr>
              <w:t>Programme</w:t>
            </w:r>
            <w:proofErr w:type="spellEnd"/>
            <w:r>
              <w:rPr>
                <w:rFonts w:ascii="Arial" w:eastAsia="Arial" w:hAnsi="Arial" w:cs="Arial"/>
                <w:sz w:val="22"/>
                <w:szCs w:val="22"/>
              </w:rPr>
              <w:t xml:space="preserve">. </w:t>
            </w:r>
          </w:p>
          <w:p w:rsidR="006E79D9" w:rsidRDefault="006E79D9" w:rsidP="000A4DF9">
            <w:pPr>
              <w:rPr>
                <w:rFonts w:ascii="Arial" w:eastAsia="Arial" w:hAnsi="Arial" w:cs="Arial"/>
                <w:sz w:val="22"/>
                <w:szCs w:val="22"/>
              </w:rPr>
            </w:pPr>
          </w:p>
          <w:p w:rsidR="006E79D9" w:rsidRPr="00BA01AC" w:rsidRDefault="00BA01AC" w:rsidP="000A4DF9">
            <w:pPr>
              <w:spacing w:before="120" w:after="120" w:line="278" w:lineRule="auto"/>
              <w:ind w:right="14"/>
              <w:rPr>
                <w:rFonts w:ascii="Arial" w:eastAsia="Arial" w:hAnsi="Arial" w:cs="Arial"/>
                <w:color w:val="000000"/>
                <w:sz w:val="22"/>
                <w:szCs w:val="22"/>
              </w:rPr>
            </w:pPr>
            <w:r w:rsidRPr="000A4DF9">
              <w:rPr>
                <w:rFonts w:ascii="Arial" w:eastAsia="Arial" w:hAnsi="Arial" w:cs="Arial"/>
                <w:b/>
                <w:bCs/>
                <w:sz w:val="22"/>
                <w:szCs w:val="22"/>
              </w:rPr>
              <w:t>Requests</w:t>
            </w:r>
            <w:r w:rsidRPr="000A4DF9">
              <w:rPr>
                <w:rFonts w:ascii="Arial" w:eastAsia="Arial" w:hAnsi="Arial" w:cs="Arial"/>
                <w:sz w:val="22"/>
                <w:szCs w:val="22"/>
              </w:rPr>
              <w:t xml:space="preserve"> the WG 3 to address </w:t>
            </w:r>
            <w:r w:rsidR="00C33F7D" w:rsidRPr="000A4DF9">
              <w:rPr>
                <w:rFonts w:ascii="Arial" w:eastAsia="Arial" w:hAnsi="Arial" w:cs="Arial"/>
                <w:sz w:val="22"/>
                <w:szCs w:val="22"/>
              </w:rPr>
              <w:t xml:space="preserve">in the context of overall tsunami disaster risk reduction the </w:t>
            </w:r>
            <w:r w:rsidRPr="000A4DF9">
              <w:rPr>
                <w:rFonts w:ascii="Arial" w:eastAsia="Arial" w:hAnsi="Arial" w:cs="Arial"/>
                <w:sz w:val="22"/>
                <w:szCs w:val="22"/>
              </w:rPr>
              <w:t xml:space="preserve">key future governance </w:t>
            </w:r>
            <w:r w:rsidRPr="000A4DF9">
              <w:rPr>
                <w:rFonts w:ascii="Arial" w:eastAsia="Arial" w:hAnsi="Arial" w:cs="Arial"/>
                <w:sz w:val="22"/>
                <w:szCs w:val="22"/>
              </w:rPr>
              <w:t>and Tsunami Ready implementation</w:t>
            </w:r>
            <w:r w:rsidR="00DD27EE" w:rsidRPr="000A4DF9">
              <w:rPr>
                <w:rFonts w:ascii="Arial" w:eastAsia="Arial" w:hAnsi="Arial" w:cs="Arial"/>
                <w:sz w:val="22"/>
                <w:szCs w:val="22"/>
              </w:rPr>
              <w:t xml:space="preserve"> </w:t>
            </w:r>
            <w:r w:rsidRPr="000A4DF9">
              <w:rPr>
                <w:rFonts w:ascii="Arial" w:eastAsia="Arial" w:hAnsi="Arial" w:cs="Arial"/>
                <w:sz w:val="22"/>
                <w:szCs w:val="22"/>
              </w:rPr>
              <w:t>questions</w:t>
            </w:r>
            <w:r w:rsidRPr="000A4DF9">
              <w:rPr>
                <w:rFonts w:ascii="Arial" w:eastAsia="Arial" w:hAnsi="Arial" w:cs="Arial"/>
                <w:sz w:val="22"/>
                <w:szCs w:val="22"/>
              </w:rPr>
              <w:t xml:space="preserve"> as identified by the TOWS-WG-XVII</w:t>
            </w:r>
            <w:r w:rsidR="009A0289">
              <w:rPr>
                <w:rFonts w:ascii="Arial" w:eastAsia="Arial" w:hAnsi="Arial" w:cs="Arial"/>
                <w:sz w:val="22"/>
                <w:szCs w:val="22"/>
              </w:rPr>
              <w:t>I</w:t>
            </w:r>
            <w:r w:rsidRPr="000A4DF9">
              <w:rPr>
                <w:rFonts w:ascii="Arial" w:eastAsia="Arial" w:hAnsi="Arial" w:cs="Arial"/>
                <w:sz w:val="22"/>
                <w:szCs w:val="22"/>
              </w:rPr>
              <w:t xml:space="preserve"> Task Team on Disaster Management and Preparedness, for sharing to the TOWS WG.</w:t>
            </w:r>
          </w:p>
        </w:tc>
      </w:tr>
    </w:tbl>
    <w:p w:rsidR="00111F32" w:rsidRDefault="00111F32">
      <w:pPr>
        <w:rPr>
          <w:rFonts w:ascii="Arial" w:eastAsia="Arial" w:hAnsi="Arial" w:cs="Arial"/>
          <w:sz w:val="22"/>
          <w:szCs w:val="22"/>
        </w:rPr>
      </w:pPr>
    </w:p>
    <w:p w:rsidR="00111F32" w:rsidRDefault="00000000">
      <w:pPr>
        <w:pBdr>
          <w:top w:val="nil"/>
          <w:left w:val="nil"/>
          <w:bottom w:val="nil"/>
          <w:right w:val="nil"/>
          <w:between w:val="nil"/>
        </w:pBdr>
        <w:spacing w:before="280" w:after="280" w:line="276" w:lineRule="auto"/>
        <w:rPr>
          <w:rFonts w:ascii="Arial" w:eastAsia="Arial" w:hAnsi="Arial" w:cs="Arial"/>
          <w:sz w:val="22"/>
          <w:szCs w:val="22"/>
          <w:u w:val="single"/>
        </w:rPr>
      </w:pPr>
      <w:r>
        <w:rPr>
          <w:rFonts w:ascii="Arial" w:eastAsia="Arial" w:hAnsi="Arial" w:cs="Arial"/>
          <w:sz w:val="22"/>
          <w:szCs w:val="22"/>
          <w:u w:val="single"/>
        </w:rPr>
        <w:t>Global Performance Monitoring Framework</w:t>
      </w:r>
    </w:p>
    <w:p w:rsidR="00111F32" w:rsidRPr="004D0DA1" w:rsidRDefault="00000000" w:rsidP="00B627B2">
      <w:pPr>
        <w:spacing w:before="120" w:after="120" w:line="278" w:lineRule="auto"/>
        <w:ind w:right="14"/>
        <w:rPr>
          <w:rFonts w:ascii="Arial" w:eastAsia="Arial" w:hAnsi="Arial" w:cs="Arial"/>
          <w:sz w:val="22"/>
          <w:szCs w:val="22"/>
        </w:rPr>
      </w:pPr>
      <w:r w:rsidRPr="004D0DA1">
        <w:rPr>
          <w:rFonts w:ascii="Arial" w:eastAsia="Arial" w:hAnsi="Arial" w:cs="Arial"/>
          <w:sz w:val="22"/>
          <w:szCs w:val="22"/>
        </w:rPr>
        <w:t>The matter of a Global Performance Monitoring Framework was also discussed at the joint</w:t>
      </w:r>
      <w:r w:rsidR="00BA01AC" w:rsidRPr="004D0DA1">
        <w:rPr>
          <w:rFonts w:ascii="Arial" w:eastAsia="Arial" w:hAnsi="Arial" w:cs="Arial"/>
          <w:sz w:val="22"/>
          <w:szCs w:val="22"/>
        </w:rPr>
        <w:t xml:space="preserve"> </w:t>
      </w:r>
      <w:r w:rsidRPr="004D0DA1">
        <w:rPr>
          <w:rFonts w:ascii="Arial" w:eastAsia="Arial" w:hAnsi="Arial" w:cs="Arial"/>
          <w:sz w:val="22"/>
          <w:szCs w:val="22"/>
        </w:rPr>
        <w:t>meeting of the TOWS</w:t>
      </w:r>
      <w:r w:rsidR="00BA01AC" w:rsidRPr="004D0DA1">
        <w:rPr>
          <w:rFonts w:ascii="Arial" w:eastAsia="Arial" w:hAnsi="Arial" w:cs="Arial"/>
          <w:sz w:val="22"/>
          <w:szCs w:val="22"/>
        </w:rPr>
        <w:t>-WG-XVIII</w:t>
      </w:r>
      <w:r w:rsidRPr="004D0DA1">
        <w:rPr>
          <w:rFonts w:ascii="Arial" w:eastAsia="Arial" w:hAnsi="Arial" w:cs="Arial"/>
          <w:sz w:val="22"/>
          <w:szCs w:val="22"/>
        </w:rPr>
        <w:t xml:space="preserve"> TT</w:t>
      </w:r>
      <w:r w:rsidR="00BA01AC" w:rsidRPr="004D0DA1">
        <w:rPr>
          <w:rFonts w:ascii="Arial" w:eastAsia="Arial" w:hAnsi="Arial" w:cs="Arial"/>
          <w:sz w:val="22"/>
          <w:szCs w:val="22"/>
        </w:rPr>
        <w:t>-</w:t>
      </w:r>
      <w:r w:rsidRPr="004D0DA1">
        <w:rPr>
          <w:rFonts w:ascii="Arial" w:eastAsia="Arial" w:hAnsi="Arial" w:cs="Arial"/>
          <w:sz w:val="22"/>
          <w:szCs w:val="22"/>
        </w:rPr>
        <w:t xml:space="preserve">DMP </w:t>
      </w:r>
      <w:r w:rsidR="00BA01AC" w:rsidRPr="004D0DA1">
        <w:rPr>
          <w:rFonts w:ascii="Arial" w:eastAsia="Arial" w:hAnsi="Arial" w:cs="Arial"/>
          <w:sz w:val="22"/>
          <w:szCs w:val="22"/>
        </w:rPr>
        <w:t>and Task Team on Tsunami Watch Operations (</w:t>
      </w:r>
      <w:r w:rsidRPr="004D0DA1">
        <w:rPr>
          <w:rFonts w:ascii="Arial" w:eastAsia="Arial" w:hAnsi="Arial" w:cs="Arial"/>
          <w:sz w:val="22"/>
          <w:szCs w:val="22"/>
        </w:rPr>
        <w:t>TT</w:t>
      </w:r>
      <w:r w:rsidR="00BA01AC" w:rsidRPr="004D0DA1">
        <w:rPr>
          <w:rFonts w:ascii="Arial" w:eastAsia="Arial" w:hAnsi="Arial" w:cs="Arial"/>
          <w:sz w:val="22"/>
          <w:szCs w:val="22"/>
        </w:rPr>
        <w:t>-</w:t>
      </w:r>
      <w:r w:rsidRPr="004D0DA1">
        <w:rPr>
          <w:rFonts w:ascii="Arial" w:eastAsia="Arial" w:hAnsi="Arial" w:cs="Arial"/>
          <w:sz w:val="22"/>
          <w:szCs w:val="22"/>
        </w:rPr>
        <w:t>TWO</w:t>
      </w:r>
      <w:r w:rsidR="00BA01AC" w:rsidRPr="004D0DA1">
        <w:rPr>
          <w:rFonts w:ascii="Arial" w:eastAsia="Arial" w:hAnsi="Arial" w:cs="Arial"/>
          <w:sz w:val="22"/>
          <w:szCs w:val="22"/>
        </w:rPr>
        <w:t>)</w:t>
      </w:r>
      <w:r w:rsidRPr="004D0DA1">
        <w:rPr>
          <w:rFonts w:ascii="Arial" w:eastAsia="Arial" w:hAnsi="Arial" w:cs="Arial"/>
          <w:sz w:val="22"/>
          <w:szCs w:val="22"/>
        </w:rPr>
        <w:t xml:space="preserve"> in February 2025. The IOC</w:t>
      </w:r>
      <w:r w:rsidR="00BA01AC" w:rsidRPr="004D0DA1">
        <w:rPr>
          <w:rFonts w:ascii="Arial" w:eastAsia="Arial" w:hAnsi="Arial" w:cs="Arial"/>
          <w:sz w:val="22"/>
          <w:szCs w:val="22"/>
        </w:rPr>
        <w:t xml:space="preserve"> Tsunami Resilience Section (IOC-</w:t>
      </w:r>
      <w:r w:rsidRPr="004D0DA1">
        <w:rPr>
          <w:rFonts w:ascii="Arial" w:eastAsia="Arial" w:hAnsi="Arial" w:cs="Arial"/>
          <w:sz w:val="22"/>
          <w:szCs w:val="22"/>
        </w:rPr>
        <w:t>TS</w:t>
      </w:r>
      <w:r w:rsidR="00BA01AC" w:rsidRPr="004D0DA1">
        <w:rPr>
          <w:rFonts w:ascii="Arial" w:eastAsia="Arial" w:hAnsi="Arial" w:cs="Arial"/>
          <w:sz w:val="22"/>
          <w:szCs w:val="22"/>
        </w:rPr>
        <w:t>R)</w:t>
      </w:r>
      <w:r w:rsidRPr="004D0DA1">
        <w:rPr>
          <w:rFonts w:ascii="Arial" w:eastAsia="Arial" w:hAnsi="Arial" w:cs="Arial"/>
          <w:sz w:val="22"/>
          <w:szCs w:val="22"/>
        </w:rPr>
        <w:t xml:space="preserve"> Secretariat is actively preparing to develop a Performance Monitoring and Tracking Framework and Tool for </w:t>
      </w:r>
      <w:r w:rsidR="00BA01AC" w:rsidRPr="004D0DA1">
        <w:rPr>
          <w:rFonts w:ascii="Arial" w:eastAsia="Arial" w:hAnsi="Arial" w:cs="Arial"/>
          <w:sz w:val="22"/>
          <w:szCs w:val="22"/>
        </w:rPr>
        <w:t xml:space="preserve">Ocean Decade Tsunami </w:t>
      </w:r>
      <w:proofErr w:type="spellStart"/>
      <w:r w:rsidR="00BA01AC" w:rsidRPr="004D0DA1">
        <w:rPr>
          <w:rFonts w:ascii="Arial" w:eastAsia="Arial" w:hAnsi="Arial" w:cs="Arial"/>
          <w:sz w:val="22"/>
          <w:szCs w:val="22"/>
        </w:rPr>
        <w:t>Programme</w:t>
      </w:r>
      <w:proofErr w:type="spellEnd"/>
      <w:r w:rsidR="00BA01AC" w:rsidRPr="004D0DA1">
        <w:rPr>
          <w:rFonts w:ascii="Arial" w:eastAsia="Arial" w:hAnsi="Arial" w:cs="Arial"/>
          <w:sz w:val="22"/>
          <w:szCs w:val="22"/>
        </w:rPr>
        <w:t xml:space="preserve"> (</w:t>
      </w:r>
      <w:r w:rsidRPr="004D0DA1">
        <w:rPr>
          <w:rFonts w:ascii="Arial" w:eastAsia="Arial" w:hAnsi="Arial" w:cs="Arial"/>
          <w:sz w:val="22"/>
          <w:szCs w:val="22"/>
        </w:rPr>
        <w:t>ODTP</w:t>
      </w:r>
      <w:r w:rsidR="00BA01AC" w:rsidRPr="004D0DA1">
        <w:rPr>
          <w:rFonts w:ascii="Arial" w:eastAsia="Arial" w:hAnsi="Arial" w:cs="Arial"/>
          <w:sz w:val="22"/>
          <w:szCs w:val="22"/>
        </w:rPr>
        <w:t>)</w:t>
      </w:r>
      <w:r w:rsidRPr="004D0DA1">
        <w:rPr>
          <w:rFonts w:ascii="Arial" w:eastAsia="Arial" w:hAnsi="Arial" w:cs="Arial"/>
          <w:sz w:val="22"/>
          <w:szCs w:val="22"/>
        </w:rPr>
        <w:t xml:space="preserve"> actions, following an unsuccessful attempt to recruit a consultant. </w:t>
      </w:r>
    </w:p>
    <w:p w:rsidR="00111F32" w:rsidRPr="004D0DA1" w:rsidRDefault="00000000" w:rsidP="00B627B2">
      <w:pPr>
        <w:spacing w:before="120" w:after="120" w:line="278" w:lineRule="auto"/>
        <w:ind w:right="14"/>
        <w:rPr>
          <w:rFonts w:ascii="Arial" w:eastAsia="Arial" w:hAnsi="Arial" w:cs="Arial"/>
          <w:sz w:val="22"/>
          <w:szCs w:val="22"/>
        </w:rPr>
      </w:pPr>
      <w:r w:rsidRPr="004D0DA1">
        <w:rPr>
          <w:rFonts w:ascii="Arial" w:eastAsia="Arial" w:hAnsi="Arial" w:cs="Arial"/>
          <w:sz w:val="22"/>
          <w:szCs w:val="22"/>
        </w:rPr>
        <w:t xml:space="preserve">The tool is designed to closely align with both the Monitoring and Evaluation Framework of the United Nations Decade of Ocean Science for Sustainable Development (2021–2030) and the Global Tsunami Performance Monitoring Framework. The design concept prioritizes the efficient integration of </w:t>
      </w:r>
      <w:r w:rsidR="00BA01AC" w:rsidRPr="004D0DA1">
        <w:rPr>
          <w:rFonts w:ascii="Arial" w:eastAsia="Arial" w:hAnsi="Arial" w:cs="Arial"/>
          <w:sz w:val="22"/>
          <w:szCs w:val="22"/>
        </w:rPr>
        <w:t>Key Performance Indicators (</w:t>
      </w:r>
      <w:r w:rsidRPr="004D0DA1">
        <w:rPr>
          <w:rFonts w:ascii="Arial" w:eastAsia="Arial" w:hAnsi="Arial" w:cs="Arial"/>
          <w:sz w:val="22"/>
          <w:szCs w:val="22"/>
        </w:rPr>
        <w:t>KPIs</w:t>
      </w:r>
      <w:r w:rsidR="00BA01AC" w:rsidRPr="004D0DA1">
        <w:rPr>
          <w:rFonts w:ascii="Arial" w:eastAsia="Arial" w:hAnsi="Arial" w:cs="Arial"/>
          <w:sz w:val="22"/>
          <w:szCs w:val="22"/>
        </w:rPr>
        <w:t>)</w:t>
      </w:r>
      <w:r w:rsidRPr="004D0DA1">
        <w:rPr>
          <w:rFonts w:ascii="Arial" w:eastAsia="Arial" w:hAnsi="Arial" w:cs="Arial"/>
          <w:sz w:val="22"/>
          <w:szCs w:val="22"/>
        </w:rPr>
        <w:t xml:space="preserve"> from multiple assessment frameworks, ensuring streamlined assessments and reporting while minimizing duplication. The overarching goal is to create a unified Tsunami Performance Monitoring and Tracking Tool that offers users the flexibility to choose their assessment application—whether using ICG-KPIs, ODTP-KPIs, or other relevant indicators, from detailed micro-level to broader macro-level applications. The Pacific/ICG-KPI serves as the foundational layer for this tool, with additional layers incorporating KPIs derived from the ODTP</w:t>
      </w:r>
      <w:r w:rsidR="000B47E5" w:rsidRPr="004D0DA1">
        <w:rPr>
          <w:rFonts w:ascii="Arial" w:eastAsia="Arial" w:hAnsi="Arial" w:cs="Arial"/>
          <w:sz w:val="22"/>
          <w:szCs w:val="22"/>
        </w:rPr>
        <w:t xml:space="preserve"> Research</w:t>
      </w:r>
      <w:r w:rsidR="00001FB0" w:rsidRPr="004D0DA1">
        <w:rPr>
          <w:rFonts w:ascii="Arial" w:eastAsia="Arial" w:hAnsi="Arial" w:cs="Arial"/>
          <w:sz w:val="22"/>
          <w:szCs w:val="22"/>
        </w:rPr>
        <w:t xml:space="preserve">, </w:t>
      </w:r>
      <w:r w:rsidR="000B47E5" w:rsidRPr="004D0DA1">
        <w:rPr>
          <w:rFonts w:ascii="Arial" w:eastAsia="Arial" w:hAnsi="Arial" w:cs="Arial"/>
          <w:sz w:val="22"/>
          <w:szCs w:val="22"/>
        </w:rPr>
        <w:t>Development</w:t>
      </w:r>
      <w:r w:rsidR="00001FB0" w:rsidRPr="004D0DA1">
        <w:rPr>
          <w:rFonts w:ascii="Arial" w:eastAsia="Arial" w:hAnsi="Arial" w:cs="Arial"/>
          <w:sz w:val="22"/>
          <w:szCs w:val="22"/>
        </w:rPr>
        <w:t xml:space="preserve">, and </w:t>
      </w:r>
      <w:r w:rsidR="000B47E5" w:rsidRPr="004D0DA1">
        <w:rPr>
          <w:rFonts w:ascii="Arial" w:eastAsia="Arial" w:hAnsi="Arial" w:cs="Arial"/>
          <w:sz w:val="22"/>
          <w:szCs w:val="22"/>
        </w:rPr>
        <w:t xml:space="preserve">Implementation </w:t>
      </w:r>
      <w:r w:rsidR="00001FB0" w:rsidRPr="004D0DA1">
        <w:rPr>
          <w:rFonts w:ascii="Arial" w:eastAsia="Arial" w:hAnsi="Arial" w:cs="Arial"/>
          <w:sz w:val="22"/>
          <w:szCs w:val="22"/>
        </w:rPr>
        <w:t xml:space="preserve">(RDI) </w:t>
      </w:r>
      <w:r w:rsidR="000B47E5" w:rsidRPr="004D0DA1">
        <w:rPr>
          <w:rFonts w:ascii="Arial" w:eastAsia="Arial" w:hAnsi="Arial" w:cs="Arial"/>
          <w:sz w:val="22"/>
          <w:szCs w:val="22"/>
        </w:rPr>
        <w:t xml:space="preserve">Plan </w:t>
      </w:r>
      <w:r w:rsidRPr="004D0DA1">
        <w:rPr>
          <w:rFonts w:ascii="Arial" w:eastAsia="Arial" w:hAnsi="Arial" w:cs="Arial"/>
          <w:sz w:val="22"/>
          <w:szCs w:val="22"/>
        </w:rPr>
        <w:t>and other relevant frameworks. A key remaining task is the alignment and mapping of ODTP-RDI and Vision 2030 indicators onto the ICG-KPI structure. A proposed work plan includes the following milestones:</w:t>
      </w:r>
    </w:p>
    <w:p w:rsidR="00111F32" w:rsidRPr="004D0DA1" w:rsidRDefault="00000000" w:rsidP="004D0DA1">
      <w:pPr>
        <w:pStyle w:val="ListParagraph"/>
        <w:numPr>
          <w:ilvl w:val="0"/>
          <w:numId w:val="8"/>
        </w:numPr>
        <w:spacing w:before="120" w:after="120" w:line="278" w:lineRule="auto"/>
        <w:ind w:right="14"/>
        <w:jc w:val="both"/>
        <w:rPr>
          <w:rFonts w:ascii="Arial" w:eastAsia="Arial" w:hAnsi="Arial" w:cs="Arial"/>
          <w:sz w:val="22"/>
          <w:szCs w:val="22"/>
        </w:rPr>
      </w:pPr>
      <w:r w:rsidRPr="004D0DA1">
        <w:rPr>
          <w:rFonts w:ascii="Arial" w:eastAsia="Arial" w:hAnsi="Arial" w:cs="Arial"/>
          <w:sz w:val="22"/>
          <w:szCs w:val="22"/>
        </w:rPr>
        <w:t>Gathering feedback from ODTP-SC and TOWS meetings, as well as online feedback, by August 2025.</w:t>
      </w:r>
    </w:p>
    <w:p w:rsidR="00111F32" w:rsidRPr="004D0DA1" w:rsidRDefault="00000000" w:rsidP="004D0DA1">
      <w:pPr>
        <w:pStyle w:val="ListParagraph"/>
        <w:numPr>
          <w:ilvl w:val="0"/>
          <w:numId w:val="8"/>
        </w:numPr>
        <w:spacing w:before="120" w:after="120" w:line="278" w:lineRule="auto"/>
        <w:ind w:right="14"/>
        <w:jc w:val="both"/>
        <w:rPr>
          <w:rFonts w:ascii="Arial" w:eastAsia="Arial" w:hAnsi="Arial" w:cs="Arial"/>
          <w:sz w:val="22"/>
          <w:szCs w:val="22"/>
        </w:rPr>
      </w:pPr>
      <w:r w:rsidRPr="004D0DA1">
        <w:rPr>
          <w:rFonts w:ascii="Arial" w:eastAsia="Arial" w:hAnsi="Arial" w:cs="Arial"/>
          <w:sz w:val="22"/>
          <w:szCs w:val="22"/>
        </w:rPr>
        <w:t>Developing an online platform tool by September with the expertise of a consultant.</w:t>
      </w:r>
    </w:p>
    <w:p w:rsidR="00111F32" w:rsidRPr="004D0DA1" w:rsidRDefault="00000000" w:rsidP="004D0DA1">
      <w:pPr>
        <w:pStyle w:val="ListParagraph"/>
        <w:numPr>
          <w:ilvl w:val="0"/>
          <w:numId w:val="8"/>
        </w:numPr>
        <w:spacing w:before="120" w:after="120" w:line="278" w:lineRule="auto"/>
        <w:ind w:right="14"/>
        <w:jc w:val="both"/>
        <w:rPr>
          <w:rFonts w:ascii="Arial" w:eastAsia="Arial" w:hAnsi="Arial" w:cs="Arial"/>
          <w:sz w:val="22"/>
          <w:szCs w:val="22"/>
        </w:rPr>
      </w:pPr>
      <w:r w:rsidRPr="004D0DA1">
        <w:rPr>
          <w:rFonts w:ascii="Arial" w:eastAsia="Arial" w:hAnsi="Arial" w:cs="Arial"/>
          <w:sz w:val="22"/>
          <w:szCs w:val="22"/>
        </w:rPr>
        <w:t>Testing by November 2025.</w:t>
      </w:r>
    </w:p>
    <w:p w:rsidR="00111F32" w:rsidRPr="004D0DA1" w:rsidRDefault="00000000" w:rsidP="004D0DA1">
      <w:pPr>
        <w:pStyle w:val="ListParagraph"/>
        <w:numPr>
          <w:ilvl w:val="0"/>
          <w:numId w:val="8"/>
        </w:numPr>
        <w:spacing w:before="120" w:after="120" w:line="278" w:lineRule="auto"/>
        <w:ind w:right="14"/>
        <w:jc w:val="both"/>
        <w:rPr>
          <w:rFonts w:ascii="Arial" w:eastAsia="Arial" w:hAnsi="Arial" w:cs="Arial"/>
          <w:sz w:val="22"/>
          <w:szCs w:val="22"/>
        </w:rPr>
      </w:pPr>
      <w:r w:rsidRPr="004D0DA1">
        <w:rPr>
          <w:rFonts w:ascii="Arial" w:eastAsia="Arial" w:hAnsi="Arial" w:cs="Arial"/>
          <w:sz w:val="22"/>
          <w:szCs w:val="22"/>
        </w:rPr>
        <w:t>Operationalizing the tool by January 2026 to align with the next Ocean Decade Monitoring and Tracking annual exercise, considering the possibility of using a testing group of Member States</w:t>
      </w:r>
    </w:p>
    <w:p w:rsidR="00111F32" w:rsidRPr="004D0DA1" w:rsidRDefault="00000000" w:rsidP="00123AAE">
      <w:pPr>
        <w:spacing w:before="120" w:after="120" w:line="278" w:lineRule="auto"/>
        <w:ind w:right="14"/>
        <w:rPr>
          <w:rFonts w:ascii="Arial" w:eastAsia="Arial" w:hAnsi="Arial" w:cs="Arial"/>
          <w:sz w:val="22"/>
          <w:szCs w:val="22"/>
        </w:rPr>
      </w:pPr>
      <w:r w:rsidRPr="004D0DA1">
        <w:rPr>
          <w:rFonts w:ascii="Arial" w:eastAsia="Arial" w:hAnsi="Arial" w:cs="Arial"/>
          <w:sz w:val="22"/>
          <w:szCs w:val="22"/>
        </w:rPr>
        <w:t xml:space="preserve">There are two levels of questions requiring attention. At the operational level, key considerations include determining who will conduct the assessments, what training will be necessary, and the timeline for operationalizing the tool. At the strategic level, the focus is on how the TRS can effectively and sustainably manage the tool to ensure standardization and alignment with best practices for KPIs and performance measures. This encompasses data collection, analysis, knowledge dissemination, and continuous adaptation. Additionally, strategies and resource planning approaches are needed to support the coordination and management of such an important initiative.  </w:t>
      </w:r>
    </w:p>
    <w:p w:rsidR="00111F32" w:rsidRPr="004D0DA1" w:rsidRDefault="00000000" w:rsidP="00123AAE">
      <w:pPr>
        <w:spacing w:before="120" w:after="120" w:line="278" w:lineRule="auto"/>
        <w:ind w:right="14"/>
        <w:rPr>
          <w:rFonts w:ascii="Arial" w:eastAsia="Arial" w:hAnsi="Arial" w:cs="Arial"/>
          <w:sz w:val="22"/>
          <w:szCs w:val="22"/>
        </w:rPr>
      </w:pPr>
      <w:r w:rsidRPr="004D0DA1">
        <w:rPr>
          <w:rFonts w:ascii="Arial" w:eastAsia="Arial" w:hAnsi="Arial" w:cs="Arial"/>
          <w:sz w:val="22"/>
          <w:szCs w:val="22"/>
        </w:rPr>
        <w:lastRenderedPageBreak/>
        <w:t>Other materials, guidance and standards will need to be developed that support the global assessment process. This will also include national report changes, monitoring and evaluation and potential differences between inter-ICG reporting. This work can and will be undertaken by the TOWS Task Team responsible for developing this framework.</w:t>
      </w:r>
    </w:p>
    <w:p w:rsidR="00111F32" w:rsidRPr="004D0DA1" w:rsidRDefault="00000000" w:rsidP="00123AAE">
      <w:pPr>
        <w:spacing w:before="120" w:after="120" w:line="278" w:lineRule="auto"/>
        <w:ind w:right="14"/>
        <w:rPr>
          <w:rFonts w:ascii="Arial" w:eastAsia="Arial" w:hAnsi="Arial" w:cs="Arial"/>
          <w:sz w:val="22"/>
          <w:szCs w:val="22"/>
        </w:rPr>
      </w:pPr>
      <w:r w:rsidRPr="004D0DA1">
        <w:rPr>
          <w:rFonts w:ascii="Arial" w:eastAsia="Arial" w:hAnsi="Arial" w:cs="Arial"/>
          <w:sz w:val="22"/>
          <w:szCs w:val="22"/>
        </w:rPr>
        <w:t>The expectations of IOC-ICG Member States are that they will monitor and evaluate progress against the new global framework and provide yearly reports via the annual ICG meeting structures. These will replace the current national reporting process. Participation in annual TOW’s meetings/workshops will allow gaps, opportunities, improvement and successes to be discussed, specific to their ICG countries evaluation against the framework. ICG Steering Committee meetings across the four ICG’s will also work on the same evaluation results in their early reporting.</w:t>
      </w:r>
    </w:p>
    <w:p w:rsidR="00111F32" w:rsidRPr="000B47E5" w:rsidRDefault="00111F32">
      <w:pPr>
        <w:tabs>
          <w:tab w:val="left" w:pos="476"/>
          <w:tab w:val="left" w:pos="478"/>
        </w:tabs>
        <w:spacing w:after="160" w:line="259" w:lineRule="auto"/>
        <w:ind w:right="115"/>
        <w:jc w:val="both"/>
        <w:rPr>
          <w:rFonts w:ascii="Arial" w:eastAsia="Aptos" w:hAnsi="Arial" w:cs="Arial"/>
          <w:sz w:val="22"/>
          <w:szCs w:val="22"/>
        </w:rPr>
      </w:pPr>
    </w:p>
    <w:tbl>
      <w:tblPr>
        <w:tblStyle w:val="a0"/>
        <w:tblW w:w="9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0"/>
      </w:tblGrid>
      <w:tr w:rsidR="00111F32">
        <w:tc>
          <w:tcPr>
            <w:tcW w:w="9020" w:type="dxa"/>
            <w:shd w:val="clear" w:color="auto" w:fill="auto"/>
            <w:tcMar>
              <w:top w:w="100" w:type="dxa"/>
              <w:left w:w="100" w:type="dxa"/>
              <w:bottom w:w="100" w:type="dxa"/>
              <w:right w:w="100" w:type="dxa"/>
            </w:tcMar>
          </w:tcPr>
          <w:p w:rsidR="00111F32" w:rsidRPr="000A4DF9" w:rsidRDefault="00000000" w:rsidP="00B627B2">
            <w:pPr>
              <w:spacing w:before="120" w:after="120" w:line="278" w:lineRule="auto"/>
              <w:ind w:right="14"/>
              <w:rPr>
                <w:rFonts w:ascii="Arial" w:eastAsia="Arial" w:hAnsi="Arial" w:cs="Arial"/>
                <w:sz w:val="22"/>
                <w:szCs w:val="22"/>
              </w:rPr>
            </w:pPr>
            <w:r w:rsidRPr="000A4DF9">
              <w:rPr>
                <w:rFonts w:ascii="Arial" w:eastAsia="Arial" w:hAnsi="Arial" w:cs="Arial"/>
                <w:sz w:val="22"/>
                <w:szCs w:val="22"/>
              </w:rPr>
              <w:t xml:space="preserve">Working Group Three </w:t>
            </w:r>
            <w:r w:rsidR="00DE48D7" w:rsidRPr="00DE48D7">
              <w:rPr>
                <w:rFonts w:ascii="Arial" w:eastAsia="Arial" w:hAnsi="Arial" w:cs="Arial"/>
                <w:sz w:val="22"/>
                <w:szCs w:val="22"/>
              </w:rPr>
              <w:t>recommendation to</w:t>
            </w:r>
            <w:r w:rsidR="00DE48D7" w:rsidRPr="000A4DF9">
              <w:rPr>
                <w:rFonts w:ascii="Arial" w:eastAsia="Arial" w:hAnsi="Arial" w:cs="Arial"/>
                <w:b/>
                <w:bCs/>
                <w:sz w:val="22"/>
                <w:szCs w:val="22"/>
              </w:rPr>
              <w:t xml:space="preserve"> </w:t>
            </w:r>
            <w:r w:rsidRPr="000A4DF9">
              <w:rPr>
                <w:rFonts w:ascii="Arial" w:eastAsia="Arial" w:hAnsi="Arial" w:cs="Arial"/>
                <w:sz w:val="22"/>
                <w:szCs w:val="22"/>
              </w:rPr>
              <w:t>the ICG/PTWS:</w:t>
            </w:r>
          </w:p>
          <w:p w:rsidR="00111F32" w:rsidRPr="000A4DF9" w:rsidRDefault="00000000" w:rsidP="00B627B2">
            <w:pPr>
              <w:spacing w:before="120" w:after="120" w:line="278" w:lineRule="auto"/>
              <w:ind w:right="14"/>
              <w:rPr>
                <w:rFonts w:ascii="Arial" w:eastAsia="Arial" w:hAnsi="Arial" w:cs="Arial"/>
                <w:sz w:val="22"/>
                <w:szCs w:val="22"/>
              </w:rPr>
            </w:pPr>
            <w:r w:rsidRPr="000A4DF9">
              <w:rPr>
                <w:rFonts w:ascii="Arial" w:eastAsia="Arial" w:hAnsi="Arial" w:cs="Arial"/>
                <w:b/>
                <w:bCs/>
                <w:sz w:val="22"/>
                <w:szCs w:val="22"/>
              </w:rPr>
              <w:t>Recalling</w:t>
            </w:r>
            <w:r w:rsidRPr="000A4DF9">
              <w:rPr>
                <w:rFonts w:ascii="Arial" w:eastAsia="Arial" w:hAnsi="Arial" w:cs="Arial"/>
                <w:sz w:val="22"/>
                <w:szCs w:val="22"/>
              </w:rPr>
              <w:t xml:space="preserve"> </w:t>
            </w:r>
            <w:r w:rsidRPr="00001FB0">
              <w:rPr>
                <w:rFonts w:ascii="Arial" w:eastAsia="Arial" w:hAnsi="Arial" w:cs="Arial"/>
                <w:sz w:val="22"/>
                <w:szCs w:val="22"/>
              </w:rPr>
              <w:t>that the ICG/PTWS</w:t>
            </w:r>
            <w:r w:rsidR="00001FB0">
              <w:rPr>
                <w:rFonts w:ascii="Arial" w:eastAsia="Arial" w:hAnsi="Arial" w:cs="Arial"/>
                <w:sz w:val="22"/>
                <w:szCs w:val="22"/>
              </w:rPr>
              <w:t>-</w:t>
            </w:r>
            <w:r w:rsidRPr="00001FB0">
              <w:rPr>
                <w:rFonts w:ascii="Arial" w:eastAsia="Arial" w:hAnsi="Arial" w:cs="Arial"/>
                <w:sz w:val="22"/>
                <w:szCs w:val="22"/>
              </w:rPr>
              <w:t>XXX</w:t>
            </w:r>
            <w:r w:rsidRPr="000A4DF9">
              <w:rPr>
                <w:rFonts w:ascii="Arial" w:eastAsia="Arial" w:hAnsi="Arial" w:cs="Arial"/>
                <w:sz w:val="22"/>
                <w:szCs w:val="22"/>
              </w:rPr>
              <w:t xml:space="preserve"> </w:t>
            </w:r>
            <w:r w:rsidRPr="00001FB0">
              <w:rPr>
                <w:rFonts w:ascii="Arial" w:eastAsia="Arial" w:hAnsi="Arial" w:cs="Arial"/>
                <w:sz w:val="22"/>
                <w:szCs w:val="22"/>
              </w:rPr>
              <w:t xml:space="preserve">recommended that the latest version of the Global Performance Monitoring Framework be presented at the next TOWS-WG for endorsement of the global adoption by all ICGs, and for </w:t>
            </w:r>
            <w:r w:rsidR="00001FB0">
              <w:rPr>
                <w:rFonts w:ascii="Arial" w:eastAsia="Arial" w:hAnsi="Arial" w:cs="Arial"/>
                <w:sz w:val="22"/>
                <w:szCs w:val="22"/>
              </w:rPr>
              <w:t xml:space="preserve">the TOWS-WG </w:t>
            </w:r>
            <w:r w:rsidRPr="00001FB0">
              <w:rPr>
                <w:rFonts w:ascii="Arial" w:eastAsia="Arial" w:hAnsi="Arial" w:cs="Arial"/>
                <w:sz w:val="22"/>
                <w:szCs w:val="22"/>
              </w:rPr>
              <w:t>TT</w:t>
            </w:r>
            <w:r w:rsidR="00001FB0">
              <w:rPr>
                <w:rFonts w:ascii="Arial" w:eastAsia="Arial" w:hAnsi="Arial" w:cs="Arial"/>
                <w:sz w:val="22"/>
                <w:szCs w:val="22"/>
              </w:rPr>
              <w:t>-</w:t>
            </w:r>
            <w:r w:rsidRPr="00001FB0">
              <w:rPr>
                <w:rFonts w:ascii="Arial" w:eastAsia="Arial" w:hAnsi="Arial" w:cs="Arial"/>
                <w:sz w:val="22"/>
                <w:szCs w:val="22"/>
              </w:rPr>
              <w:t xml:space="preserve">DMP to work with the IOC Tsunami </w:t>
            </w:r>
            <w:r w:rsidR="00001FB0">
              <w:rPr>
                <w:rFonts w:ascii="Arial" w:eastAsia="Arial" w:hAnsi="Arial" w:cs="Arial"/>
                <w:sz w:val="22"/>
                <w:szCs w:val="22"/>
              </w:rPr>
              <w:t>Resilience Section</w:t>
            </w:r>
            <w:r w:rsidRPr="00001FB0">
              <w:rPr>
                <w:rFonts w:ascii="Arial" w:eastAsia="Arial" w:hAnsi="Arial" w:cs="Arial"/>
                <w:sz w:val="22"/>
                <w:szCs w:val="22"/>
              </w:rPr>
              <w:t xml:space="preserve"> </w:t>
            </w:r>
            <w:r w:rsidR="00001FB0">
              <w:rPr>
                <w:rFonts w:ascii="Arial" w:eastAsia="Arial" w:hAnsi="Arial" w:cs="Arial"/>
                <w:sz w:val="22"/>
                <w:szCs w:val="22"/>
              </w:rPr>
              <w:t xml:space="preserve">(IOC-TSR) </w:t>
            </w:r>
            <w:r w:rsidRPr="00001FB0">
              <w:rPr>
                <w:rFonts w:ascii="Arial" w:eastAsia="Arial" w:hAnsi="Arial" w:cs="Arial"/>
                <w:sz w:val="22"/>
                <w:szCs w:val="22"/>
              </w:rPr>
              <w:t>to develop the web portal.</w:t>
            </w:r>
          </w:p>
          <w:p w:rsidR="00111F32" w:rsidRPr="000A4DF9" w:rsidRDefault="00000000" w:rsidP="00B627B2">
            <w:pPr>
              <w:spacing w:before="120" w:after="120" w:line="278" w:lineRule="auto"/>
              <w:ind w:right="14"/>
              <w:rPr>
                <w:rFonts w:ascii="Arial" w:eastAsia="Arial" w:hAnsi="Arial" w:cs="Arial"/>
                <w:sz w:val="22"/>
                <w:szCs w:val="22"/>
              </w:rPr>
            </w:pPr>
            <w:r w:rsidRPr="000A4DF9">
              <w:rPr>
                <w:rFonts w:ascii="Arial" w:eastAsia="Arial" w:hAnsi="Arial" w:cs="Arial"/>
                <w:b/>
                <w:bCs/>
                <w:sz w:val="22"/>
                <w:szCs w:val="22"/>
              </w:rPr>
              <w:t>Notes</w:t>
            </w:r>
            <w:r w:rsidRPr="00001FB0">
              <w:rPr>
                <w:rFonts w:ascii="Arial" w:eastAsia="Arial" w:hAnsi="Arial" w:cs="Arial"/>
                <w:sz w:val="22"/>
                <w:szCs w:val="22"/>
              </w:rPr>
              <w:t xml:space="preserve"> that t</w:t>
            </w:r>
            <w:r w:rsidRPr="000A4DF9">
              <w:rPr>
                <w:rFonts w:ascii="Arial" w:eastAsia="Arial" w:hAnsi="Arial" w:cs="Arial"/>
                <w:sz w:val="22"/>
                <w:szCs w:val="22"/>
              </w:rPr>
              <w:t>he IOC</w:t>
            </w:r>
            <w:r w:rsidR="00001FB0" w:rsidRPr="000A4DF9">
              <w:rPr>
                <w:rFonts w:ascii="Arial" w:eastAsia="Arial" w:hAnsi="Arial" w:cs="Arial"/>
                <w:sz w:val="22"/>
                <w:szCs w:val="22"/>
              </w:rPr>
              <w:t>-TSR</w:t>
            </w:r>
            <w:r w:rsidRPr="000A4DF9">
              <w:rPr>
                <w:rFonts w:ascii="Arial" w:eastAsia="Arial" w:hAnsi="Arial" w:cs="Arial"/>
                <w:sz w:val="22"/>
                <w:szCs w:val="22"/>
              </w:rPr>
              <w:t xml:space="preserve"> Secretariat is actively preparing to develop a Performance Monitoring and Tracking Tool for ODTP actions, </w:t>
            </w:r>
            <w:r w:rsidRPr="00001FB0">
              <w:rPr>
                <w:rFonts w:ascii="Arial" w:eastAsia="Arial" w:hAnsi="Arial" w:cs="Arial"/>
                <w:sz w:val="22"/>
                <w:szCs w:val="22"/>
              </w:rPr>
              <w:t xml:space="preserve">with the ICG/PTWS KPI as a foundational layer, and also incorporation KPIs derived from the Ocean Decade Tsunami </w:t>
            </w:r>
            <w:proofErr w:type="spellStart"/>
            <w:r w:rsidRPr="00001FB0">
              <w:rPr>
                <w:rFonts w:ascii="Arial" w:eastAsia="Arial" w:hAnsi="Arial" w:cs="Arial"/>
                <w:sz w:val="22"/>
                <w:szCs w:val="22"/>
              </w:rPr>
              <w:t>Programme</w:t>
            </w:r>
            <w:proofErr w:type="spellEnd"/>
            <w:r w:rsidRPr="00001FB0">
              <w:rPr>
                <w:rFonts w:ascii="Arial" w:eastAsia="Arial" w:hAnsi="Arial" w:cs="Arial"/>
                <w:sz w:val="22"/>
                <w:szCs w:val="22"/>
              </w:rPr>
              <w:t xml:space="preserve"> and other relevant frameworks</w:t>
            </w:r>
          </w:p>
          <w:p w:rsidR="00111F32" w:rsidRPr="00001FB0" w:rsidRDefault="00000000" w:rsidP="00B627B2">
            <w:pPr>
              <w:spacing w:before="120" w:after="120" w:line="278" w:lineRule="auto"/>
              <w:ind w:right="14"/>
              <w:rPr>
                <w:rFonts w:ascii="Arial" w:eastAsia="Aptos" w:hAnsi="Arial" w:cs="Arial"/>
                <w:sz w:val="22"/>
                <w:szCs w:val="22"/>
              </w:rPr>
            </w:pPr>
            <w:r w:rsidRPr="000A4DF9">
              <w:rPr>
                <w:rFonts w:ascii="Arial" w:eastAsia="Arial" w:hAnsi="Arial" w:cs="Arial"/>
                <w:b/>
                <w:bCs/>
                <w:sz w:val="22"/>
                <w:szCs w:val="22"/>
              </w:rPr>
              <w:t>Requests</w:t>
            </w:r>
            <w:r w:rsidRPr="00001FB0">
              <w:rPr>
                <w:rFonts w:ascii="Arial" w:eastAsia="Arial" w:hAnsi="Arial" w:cs="Arial"/>
                <w:sz w:val="22"/>
                <w:szCs w:val="22"/>
              </w:rPr>
              <w:t xml:space="preserve"> Working Group 3 representatives to continue to engage through the TOWS</w:t>
            </w:r>
            <w:r w:rsidR="00001FB0">
              <w:rPr>
                <w:rFonts w:ascii="Arial" w:eastAsia="Arial" w:hAnsi="Arial" w:cs="Arial"/>
                <w:sz w:val="22"/>
                <w:szCs w:val="22"/>
              </w:rPr>
              <w:t xml:space="preserve">-WG </w:t>
            </w:r>
            <w:r w:rsidRPr="00001FB0">
              <w:rPr>
                <w:rFonts w:ascii="Arial" w:eastAsia="Arial" w:hAnsi="Arial" w:cs="Arial"/>
                <w:sz w:val="22"/>
                <w:szCs w:val="22"/>
              </w:rPr>
              <w:t>TT</w:t>
            </w:r>
            <w:r w:rsidR="00001FB0">
              <w:rPr>
                <w:rFonts w:ascii="Arial" w:eastAsia="Arial" w:hAnsi="Arial" w:cs="Arial"/>
                <w:sz w:val="22"/>
                <w:szCs w:val="22"/>
              </w:rPr>
              <w:t>-</w:t>
            </w:r>
            <w:r w:rsidRPr="00001FB0">
              <w:rPr>
                <w:rFonts w:ascii="Arial" w:eastAsia="Arial" w:hAnsi="Arial" w:cs="Arial"/>
                <w:sz w:val="22"/>
                <w:szCs w:val="22"/>
              </w:rPr>
              <w:t xml:space="preserve">DMP on the Global Performance Monitoring Framework and Tracking Tool, in support of consistent and effective global monitoring. </w:t>
            </w:r>
          </w:p>
        </w:tc>
      </w:tr>
    </w:tbl>
    <w:p w:rsidR="00111F32" w:rsidRDefault="00111F32">
      <w:pPr>
        <w:tabs>
          <w:tab w:val="left" w:pos="476"/>
          <w:tab w:val="left" w:pos="478"/>
        </w:tabs>
        <w:spacing w:after="160" w:line="259" w:lineRule="auto"/>
        <w:ind w:right="115"/>
        <w:jc w:val="both"/>
        <w:rPr>
          <w:rFonts w:ascii="Aptos" w:eastAsia="Aptos" w:hAnsi="Aptos" w:cs="Aptos"/>
          <w:sz w:val="22"/>
          <w:szCs w:val="22"/>
        </w:rPr>
      </w:pPr>
    </w:p>
    <w:p w:rsidR="00111F32" w:rsidRDefault="00000000">
      <w:pPr>
        <w:rPr>
          <w:rFonts w:ascii="Arial" w:eastAsia="Arial" w:hAnsi="Arial" w:cs="Arial"/>
          <w:sz w:val="22"/>
          <w:szCs w:val="22"/>
          <w:u w:val="single"/>
        </w:rPr>
      </w:pPr>
      <w:r>
        <w:rPr>
          <w:rFonts w:ascii="Arial" w:eastAsia="Arial" w:hAnsi="Arial" w:cs="Arial"/>
          <w:sz w:val="22"/>
          <w:szCs w:val="22"/>
          <w:u w:val="single"/>
        </w:rPr>
        <w:t>Tsunami Ready Coalition</w:t>
      </w:r>
    </w:p>
    <w:p w:rsidR="00C33F7D" w:rsidRDefault="00000000" w:rsidP="00123AAE">
      <w:pPr>
        <w:spacing w:before="120" w:after="120" w:line="278" w:lineRule="auto"/>
        <w:ind w:right="14"/>
        <w:rPr>
          <w:rFonts w:ascii="Arial" w:eastAsia="Arial" w:hAnsi="Arial" w:cs="Arial"/>
          <w:sz w:val="22"/>
          <w:szCs w:val="22"/>
        </w:rPr>
      </w:pPr>
      <w:r>
        <w:rPr>
          <w:rFonts w:ascii="Arial" w:eastAsia="Arial" w:hAnsi="Arial" w:cs="Arial"/>
          <w:sz w:val="22"/>
          <w:szCs w:val="22"/>
        </w:rPr>
        <w:t xml:space="preserve">As part of the ODTP governance structure, a special Coalition for Tsunami Ready (TRC) was established. </w:t>
      </w:r>
      <w:r w:rsidR="00C33F7D" w:rsidRPr="002869FB">
        <w:rPr>
          <w:rFonts w:ascii="Arial" w:eastAsia="Arial" w:hAnsi="Arial" w:cs="Arial"/>
          <w:sz w:val="22"/>
          <w:szCs w:val="22"/>
        </w:rPr>
        <w:t xml:space="preserve">The </w:t>
      </w:r>
      <w:r w:rsidR="004D0DA1">
        <w:rPr>
          <w:rFonts w:ascii="Arial" w:eastAsia="Arial" w:hAnsi="Arial" w:cs="Arial"/>
          <w:sz w:val="22"/>
          <w:szCs w:val="22"/>
        </w:rPr>
        <w:t xml:space="preserve">present </w:t>
      </w:r>
      <w:r w:rsidR="00C33F7D" w:rsidRPr="002869FB">
        <w:rPr>
          <w:rFonts w:ascii="Arial" w:eastAsia="Arial" w:hAnsi="Arial" w:cs="Arial"/>
          <w:sz w:val="22"/>
          <w:szCs w:val="22"/>
        </w:rPr>
        <w:t>Chair of the Tsunami Ready Coalition is Dr. Laura Kong, ITIC Director</w:t>
      </w:r>
      <w:r w:rsidR="00C33F7D">
        <w:rPr>
          <w:rFonts w:ascii="Arial" w:eastAsia="Arial" w:hAnsi="Arial" w:cs="Arial"/>
          <w:sz w:val="22"/>
          <w:szCs w:val="22"/>
        </w:rPr>
        <w:t>.</w:t>
      </w:r>
    </w:p>
    <w:p w:rsidR="004D0DA1" w:rsidRPr="004D0DA1" w:rsidRDefault="004D0DA1" w:rsidP="00123AAE">
      <w:pPr>
        <w:spacing w:before="240" w:after="240" w:line="278" w:lineRule="auto"/>
        <w:ind w:right="20"/>
        <w:rPr>
          <w:rFonts w:ascii="Arial" w:eastAsia="Arial" w:hAnsi="Arial" w:cs="Arial"/>
          <w:sz w:val="22"/>
          <w:szCs w:val="22"/>
        </w:rPr>
      </w:pPr>
      <w:r w:rsidRPr="004D0DA1">
        <w:rPr>
          <w:rFonts w:ascii="Arial" w:eastAsia="Arial" w:hAnsi="Arial" w:cs="Arial"/>
          <w:sz w:val="22"/>
          <w:szCs w:val="22"/>
        </w:rPr>
        <w:t xml:space="preserve">During the PTWS intersessional period, the TRC Chair, in consultation with the IOC TRS and supported by a technical consultant with extensive PTWS experience, prepared the Tsunami Ready Coalition Implementation Plan (TRC-IP).  The draft TRC-IP was presented to the ODTP-Steering Committee in January 2025 and to the TOWS-WG TT-DMP in February 2025 for comments.  The final version was then presented to the TOWS-WG-XVIII in February 2025, and approved. </w:t>
      </w:r>
    </w:p>
    <w:p w:rsidR="00111F32" w:rsidRDefault="00000000" w:rsidP="00123AAE">
      <w:pPr>
        <w:spacing w:before="240" w:after="240" w:line="278" w:lineRule="auto"/>
        <w:ind w:right="20"/>
        <w:rPr>
          <w:rFonts w:ascii="Arial" w:eastAsia="Arial" w:hAnsi="Arial" w:cs="Arial"/>
          <w:sz w:val="22"/>
          <w:szCs w:val="22"/>
        </w:rPr>
      </w:pPr>
      <w:r>
        <w:rPr>
          <w:rFonts w:ascii="Arial" w:eastAsia="Arial" w:hAnsi="Arial" w:cs="Arial"/>
          <w:sz w:val="22"/>
          <w:szCs w:val="22"/>
        </w:rPr>
        <w:t>The mandate for the Tsunami Ready Coalition, derived from the IOC Executive Council (IOC Decision A-31/3.4.1), the TOWS-WG-XV decisions and earlier TOWS Task Team on Disaster Management input, and the ODTP Implementation Plan (IOC Technical Series 180), is proposed as follows:</w:t>
      </w:r>
    </w:p>
    <w:p w:rsidR="00111F32" w:rsidRDefault="00000000" w:rsidP="00123AAE">
      <w:pPr>
        <w:spacing w:before="240" w:after="240" w:line="278" w:lineRule="auto"/>
        <w:ind w:right="20"/>
        <w:rPr>
          <w:rFonts w:ascii="Arial" w:eastAsia="Arial" w:hAnsi="Arial" w:cs="Arial"/>
          <w:sz w:val="22"/>
          <w:szCs w:val="22"/>
        </w:rPr>
      </w:pPr>
      <w:r>
        <w:rPr>
          <w:rFonts w:ascii="Arial" w:eastAsia="Arial" w:hAnsi="Arial" w:cs="Arial"/>
          <w:sz w:val="22"/>
          <w:szCs w:val="22"/>
        </w:rPr>
        <w:lastRenderedPageBreak/>
        <w:t xml:space="preserve">The Tsunami Ready Coalition is a collaboration between global, regional, and national stakeholders to advance and sustain the UNESCO-IOC Tsunami Ready Recognition </w:t>
      </w:r>
      <w:proofErr w:type="spellStart"/>
      <w:r>
        <w:rPr>
          <w:rFonts w:ascii="Arial" w:eastAsia="Arial" w:hAnsi="Arial" w:cs="Arial"/>
          <w:sz w:val="22"/>
          <w:szCs w:val="22"/>
        </w:rPr>
        <w:t>Programme</w:t>
      </w:r>
      <w:proofErr w:type="spellEnd"/>
      <w:r>
        <w:rPr>
          <w:rFonts w:ascii="Arial" w:eastAsia="Arial" w:hAnsi="Arial" w:cs="Arial"/>
          <w:sz w:val="22"/>
          <w:szCs w:val="22"/>
        </w:rPr>
        <w:t xml:space="preserve"> (TRRP), with a specific view on the UN Ocean Decade Tsunami </w:t>
      </w:r>
      <w:proofErr w:type="spellStart"/>
      <w:r>
        <w:rPr>
          <w:rFonts w:ascii="Arial" w:eastAsia="Arial" w:hAnsi="Arial" w:cs="Arial"/>
          <w:sz w:val="22"/>
          <w:szCs w:val="22"/>
        </w:rPr>
        <w:t>Programme</w:t>
      </w:r>
      <w:proofErr w:type="spellEnd"/>
      <w:r>
        <w:rPr>
          <w:rFonts w:ascii="Arial" w:eastAsia="Arial" w:hAnsi="Arial" w:cs="Arial"/>
          <w:sz w:val="22"/>
          <w:szCs w:val="22"/>
        </w:rPr>
        <w:t xml:space="preserve"> aim of 100% of communities at risk of tsunami are prepared for and resilient to tsunamis by 2030.</w:t>
      </w:r>
    </w:p>
    <w:p w:rsidR="00111F32" w:rsidRDefault="00000000" w:rsidP="00123AAE">
      <w:pPr>
        <w:spacing w:before="240" w:after="240" w:line="278" w:lineRule="auto"/>
        <w:ind w:right="20"/>
        <w:rPr>
          <w:rFonts w:ascii="Arial" w:eastAsia="Arial" w:hAnsi="Arial" w:cs="Arial"/>
          <w:sz w:val="22"/>
          <w:szCs w:val="22"/>
        </w:rPr>
      </w:pPr>
      <w:r>
        <w:rPr>
          <w:rFonts w:ascii="Arial" w:eastAsia="Arial" w:hAnsi="Arial" w:cs="Arial"/>
          <w:sz w:val="22"/>
          <w:szCs w:val="22"/>
        </w:rPr>
        <w:t xml:space="preserve">The Tsunami Ready Coalition Implementation Plan </w:t>
      </w:r>
      <w:r w:rsidR="00A90491">
        <w:rPr>
          <w:rFonts w:ascii="Arial" w:eastAsia="Arial" w:hAnsi="Arial" w:cs="Arial"/>
          <w:sz w:val="22"/>
          <w:szCs w:val="22"/>
        </w:rPr>
        <w:t xml:space="preserve">approved by the </w:t>
      </w:r>
      <w:r>
        <w:rPr>
          <w:rFonts w:ascii="Arial" w:eastAsia="Arial" w:hAnsi="Arial" w:cs="Arial"/>
          <w:sz w:val="22"/>
          <w:szCs w:val="22"/>
        </w:rPr>
        <w:t>TOWS-WG-XVII</w:t>
      </w:r>
      <w:r w:rsidR="00A90491">
        <w:rPr>
          <w:rFonts w:ascii="Arial" w:eastAsia="Arial" w:hAnsi="Arial" w:cs="Arial"/>
          <w:sz w:val="22"/>
          <w:szCs w:val="22"/>
        </w:rPr>
        <w:t>I</w:t>
      </w:r>
      <w:r>
        <w:rPr>
          <w:rFonts w:ascii="Arial" w:eastAsia="Arial" w:hAnsi="Arial" w:cs="Arial"/>
          <w:sz w:val="22"/>
          <w:szCs w:val="22"/>
        </w:rPr>
        <w:t xml:space="preserve"> </w:t>
      </w:r>
      <w:r w:rsidR="00A90491">
        <w:rPr>
          <w:rFonts w:ascii="Arial" w:eastAsia="Arial" w:hAnsi="Arial" w:cs="Arial"/>
          <w:sz w:val="22"/>
          <w:szCs w:val="22"/>
        </w:rPr>
        <w:t>and pending approval by the IOC Assembly in June 2025</w:t>
      </w:r>
      <w:r>
        <w:rPr>
          <w:rFonts w:ascii="Arial" w:eastAsia="Arial" w:hAnsi="Arial" w:cs="Arial"/>
          <w:sz w:val="22"/>
          <w:szCs w:val="22"/>
        </w:rPr>
        <w:t>. It outlines its</w:t>
      </w:r>
      <w:r w:rsidR="00001FB0">
        <w:rPr>
          <w:rFonts w:ascii="Arial" w:eastAsia="Arial" w:hAnsi="Arial" w:cs="Arial"/>
          <w:sz w:val="22"/>
          <w:szCs w:val="22"/>
        </w:rPr>
        <w:t xml:space="preserve"> </w:t>
      </w:r>
      <w:r>
        <w:rPr>
          <w:rFonts w:ascii="Arial" w:eastAsia="Arial" w:hAnsi="Arial" w:cs="Arial"/>
          <w:sz w:val="22"/>
          <w:szCs w:val="22"/>
        </w:rPr>
        <w:t>establishment, mandate, objectives, Terms of Reference (</w:t>
      </w:r>
      <w:proofErr w:type="spellStart"/>
      <w:r>
        <w:rPr>
          <w:rFonts w:ascii="Arial" w:eastAsia="Arial" w:hAnsi="Arial" w:cs="Arial"/>
          <w:sz w:val="22"/>
          <w:szCs w:val="22"/>
        </w:rPr>
        <w:t>ToR</w:t>
      </w:r>
      <w:proofErr w:type="spellEnd"/>
      <w:r>
        <w:rPr>
          <w:rFonts w:ascii="Arial" w:eastAsia="Arial" w:hAnsi="Arial" w:cs="Arial"/>
          <w:sz w:val="22"/>
          <w:szCs w:val="22"/>
        </w:rPr>
        <w:t xml:space="preserve">), action plan, governance, proposed membership and communications plan in support of the Tsunami Ready Recognition </w:t>
      </w:r>
      <w:proofErr w:type="spellStart"/>
      <w:r>
        <w:rPr>
          <w:rFonts w:ascii="Arial" w:eastAsia="Arial" w:hAnsi="Arial" w:cs="Arial"/>
          <w:sz w:val="22"/>
          <w:szCs w:val="22"/>
        </w:rPr>
        <w:t>Programme</w:t>
      </w:r>
      <w:proofErr w:type="spellEnd"/>
      <w:r>
        <w:rPr>
          <w:rFonts w:ascii="Arial" w:eastAsia="Arial" w:hAnsi="Arial" w:cs="Arial"/>
          <w:sz w:val="22"/>
          <w:szCs w:val="22"/>
        </w:rPr>
        <w:t xml:space="preserve"> (TRRP).  The TRRP, established in 2022 by the Intergovernmental Oceanographic Commission (IOC) of UNESCO, is an international community-based recognition </w:t>
      </w:r>
      <w:proofErr w:type="spellStart"/>
      <w:r>
        <w:rPr>
          <w:rFonts w:ascii="Arial" w:eastAsia="Arial" w:hAnsi="Arial" w:cs="Arial"/>
          <w:sz w:val="22"/>
          <w:szCs w:val="22"/>
        </w:rPr>
        <w:t>programme</w:t>
      </w:r>
      <w:proofErr w:type="spellEnd"/>
      <w:r>
        <w:rPr>
          <w:rFonts w:ascii="Arial" w:eastAsia="Arial" w:hAnsi="Arial" w:cs="Arial"/>
          <w:sz w:val="22"/>
          <w:szCs w:val="22"/>
        </w:rPr>
        <w:t xml:space="preserve"> that aims to build resilient communities through awareness and preparedness strategies that will protect life, livelihoods and property from tsunamis. </w:t>
      </w:r>
    </w:p>
    <w:p w:rsidR="00111F32" w:rsidRPr="004D0DA1" w:rsidRDefault="00000000" w:rsidP="00123AAE">
      <w:pPr>
        <w:spacing w:before="240" w:after="240" w:line="278" w:lineRule="auto"/>
        <w:ind w:right="20"/>
        <w:rPr>
          <w:rFonts w:ascii="Arial" w:eastAsia="Arial" w:hAnsi="Arial" w:cs="Arial"/>
          <w:sz w:val="22"/>
          <w:szCs w:val="22"/>
        </w:rPr>
      </w:pPr>
      <w:r>
        <w:rPr>
          <w:rFonts w:ascii="Arial" w:eastAsia="Arial" w:hAnsi="Arial" w:cs="Arial"/>
          <w:sz w:val="22"/>
          <w:szCs w:val="22"/>
        </w:rPr>
        <w:t>The Coalition will establish a network of critical stakeholders that will advocate for and facilitate support towards the implementation and sustaining of Tsunami Ready through targeted promotion, advocacy, resource mobilization, networking, influence, and advice. Reporting to the TOWS-WG, the Coalition will have a diverse, yet relatively small, membership by invitation of the UNESCO-IOC. Membership is primarily at the institutional level.</w:t>
      </w:r>
    </w:p>
    <w:p w:rsidR="00111F32" w:rsidRDefault="00000000" w:rsidP="00123AAE">
      <w:pPr>
        <w:spacing w:before="240" w:after="240" w:line="278" w:lineRule="auto"/>
        <w:ind w:right="20"/>
        <w:rPr>
          <w:rFonts w:ascii="Arial" w:eastAsia="Arial" w:hAnsi="Arial" w:cs="Arial"/>
          <w:sz w:val="22"/>
          <w:szCs w:val="22"/>
        </w:rPr>
      </w:pPr>
      <w:r>
        <w:rPr>
          <w:rFonts w:ascii="Arial" w:eastAsia="Arial" w:hAnsi="Arial" w:cs="Arial"/>
          <w:sz w:val="22"/>
          <w:szCs w:val="22"/>
        </w:rPr>
        <w:t xml:space="preserve">The objectives of the TRC will be to: </w:t>
      </w:r>
      <w:r>
        <w:rPr>
          <w:rFonts w:ascii="Arial" w:eastAsia="Arial" w:hAnsi="Arial" w:cs="Arial"/>
          <w:sz w:val="22"/>
          <w:szCs w:val="22"/>
        </w:rPr>
        <w:tab/>
      </w:r>
    </w:p>
    <w:p w:rsidR="00111F32" w:rsidRDefault="00000000" w:rsidP="00123AAE">
      <w:pPr>
        <w:spacing w:line="276" w:lineRule="auto"/>
        <w:ind w:right="20"/>
        <w:rPr>
          <w:rFonts w:ascii="Arial" w:eastAsia="Arial" w:hAnsi="Arial" w:cs="Arial"/>
          <w:sz w:val="22"/>
          <w:szCs w:val="22"/>
        </w:rPr>
      </w:pPr>
      <w:r>
        <w:rPr>
          <w:rFonts w:ascii="Arial" w:eastAsia="Arial" w:hAnsi="Arial" w:cs="Arial"/>
          <w:sz w:val="22"/>
          <w:szCs w:val="22"/>
        </w:rPr>
        <w:t>1.</w:t>
      </w:r>
      <w:r>
        <w:rPr>
          <w:sz w:val="22"/>
          <w:szCs w:val="22"/>
        </w:rPr>
        <w:t xml:space="preserve">     </w:t>
      </w:r>
      <w:r>
        <w:rPr>
          <w:rFonts w:ascii="Arial" w:eastAsia="Arial" w:hAnsi="Arial" w:cs="Arial"/>
          <w:sz w:val="22"/>
          <w:szCs w:val="22"/>
        </w:rPr>
        <w:t>Raise the Profile of TRRP in Collaboration with Critical Stakeholders</w:t>
      </w:r>
    </w:p>
    <w:p w:rsidR="00111F32" w:rsidRDefault="00000000" w:rsidP="00123AAE">
      <w:pPr>
        <w:spacing w:line="276" w:lineRule="auto"/>
        <w:ind w:right="20"/>
        <w:rPr>
          <w:rFonts w:ascii="Arial" w:eastAsia="Arial" w:hAnsi="Arial" w:cs="Arial"/>
          <w:sz w:val="22"/>
          <w:szCs w:val="22"/>
        </w:rPr>
      </w:pPr>
      <w:r>
        <w:rPr>
          <w:rFonts w:ascii="Arial" w:eastAsia="Arial" w:hAnsi="Arial" w:cs="Arial"/>
          <w:sz w:val="22"/>
          <w:szCs w:val="22"/>
        </w:rPr>
        <w:t>2.</w:t>
      </w:r>
      <w:r>
        <w:rPr>
          <w:sz w:val="22"/>
          <w:szCs w:val="22"/>
        </w:rPr>
        <w:t xml:space="preserve">     </w:t>
      </w:r>
      <w:r>
        <w:rPr>
          <w:rFonts w:ascii="Arial" w:eastAsia="Arial" w:hAnsi="Arial" w:cs="Arial"/>
          <w:sz w:val="22"/>
          <w:szCs w:val="22"/>
        </w:rPr>
        <w:t>Increase Funding Resources for TRRP Implementation</w:t>
      </w:r>
    </w:p>
    <w:p w:rsidR="00111F32" w:rsidRDefault="00000000" w:rsidP="00123AAE">
      <w:pPr>
        <w:spacing w:line="276" w:lineRule="auto"/>
        <w:ind w:right="20"/>
        <w:rPr>
          <w:rFonts w:ascii="Arial" w:eastAsia="Arial" w:hAnsi="Arial" w:cs="Arial"/>
          <w:sz w:val="22"/>
          <w:szCs w:val="22"/>
        </w:rPr>
      </w:pPr>
      <w:r>
        <w:rPr>
          <w:rFonts w:ascii="Arial" w:eastAsia="Arial" w:hAnsi="Arial" w:cs="Arial"/>
          <w:sz w:val="22"/>
          <w:szCs w:val="22"/>
        </w:rPr>
        <w:t>3.</w:t>
      </w:r>
      <w:r>
        <w:rPr>
          <w:sz w:val="22"/>
          <w:szCs w:val="22"/>
        </w:rPr>
        <w:t xml:space="preserve">     </w:t>
      </w:r>
      <w:r>
        <w:rPr>
          <w:rFonts w:ascii="Arial" w:eastAsia="Arial" w:hAnsi="Arial" w:cs="Arial"/>
          <w:sz w:val="22"/>
          <w:szCs w:val="22"/>
        </w:rPr>
        <w:t>Advocate for the conduct of Tsunami Ready Indicator Workshops in the Regions,</w:t>
      </w:r>
    </w:p>
    <w:p w:rsidR="00111F32" w:rsidRDefault="00000000" w:rsidP="00123AAE">
      <w:pPr>
        <w:spacing w:line="276" w:lineRule="auto"/>
        <w:ind w:right="20"/>
        <w:rPr>
          <w:rFonts w:ascii="Arial" w:eastAsia="Arial" w:hAnsi="Arial" w:cs="Arial"/>
          <w:sz w:val="22"/>
          <w:szCs w:val="22"/>
        </w:rPr>
      </w:pPr>
      <w:r>
        <w:rPr>
          <w:rFonts w:ascii="Arial" w:eastAsia="Arial" w:hAnsi="Arial" w:cs="Arial"/>
          <w:sz w:val="22"/>
          <w:szCs w:val="22"/>
        </w:rPr>
        <w:t>4.</w:t>
      </w:r>
      <w:r>
        <w:rPr>
          <w:sz w:val="22"/>
          <w:szCs w:val="22"/>
        </w:rPr>
        <w:t xml:space="preserve">     </w:t>
      </w:r>
      <w:r>
        <w:rPr>
          <w:rFonts w:ascii="Arial" w:eastAsia="Arial" w:hAnsi="Arial" w:cs="Arial"/>
          <w:sz w:val="22"/>
          <w:szCs w:val="22"/>
        </w:rPr>
        <w:t>Effectively Organize the Tsunami Ready Coalition</w:t>
      </w:r>
    </w:p>
    <w:p w:rsidR="00111F32" w:rsidRDefault="00000000" w:rsidP="00123AAE">
      <w:pPr>
        <w:spacing w:line="276" w:lineRule="auto"/>
        <w:ind w:right="20"/>
        <w:rPr>
          <w:rFonts w:ascii="Arial" w:eastAsia="Arial" w:hAnsi="Arial" w:cs="Arial"/>
          <w:sz w:val="22"/>
          <w:szCs w:val="22"/>
        </w:rPr>
      </w:pPr>
      <w:r>
        <w:rPr>
          <w:rFonts w:ascii="Arial" w:eastAsia="Arial" w:hAnsi="Arial" w:cs="Arial"/>
          <w:sz w:val="22"/>
          <w:szCs w:val="22"/>
        </w:rPr>
        <w:t xml:space="preserve"> </w:t>
      </w:r>
    </w:p>
    <w:p w:rsidR="00111F32" w:rsidRDefault="00000000" w:rsidP="00A90491">
      <w:pPr>
        <w:spacing w:line="276" w:lineRule="auto"/>
        <w:ind w:right="20"/>
        <w:rPr>
          <w:rFonts w:ascii="Arial" w:eastAsia="Arial" w:hAnsi="Arial" w:cs="Arial"/>
          <w:sz w:val="22"/>
          <w:szCs w:val="22"/>
        </w:rPr>
      </w:pPr>
      <w:r>
        <w:rPr>
          <w:rFonts w:ascii="Arial" w:eastAsia="Arial" w:hAnsi="Arial" w:cs="Arial"/>
          <w:sz w:val="22"/>
          <w:szCs w:val="22"/>
        </w:rPr>
        <w:t>The Implementation Plan sets up the membership and minimum organizational and meeting structure, lists relevant institutions for membership, identifies potential sources of funding for implementation and meetings for raising the TRRP profile, outlines outreach and communication strategies, and proposes indicators for monitoring and measuring progress.  Activities and milestones, aligned with the objectives, are proposed, emphasizing the identification of relevant institutions for advocacy and implementation as the first critical step, followed by efforts to increase funding resources for implementation.</w:t>
      </w:r>
    </w:p>
    <w:p w:rsidR="00A90491" w:rsidRPr="00A90491" w:rsidRDefault="00A90491" w:rsidP="00A90491">
      <w:pPr>
        <w:spacing w:line="276" w:lineRule="auto"/>
        <w:ind w:right="20"/>
        <w:rPr>
          <w:rFonts w:ascii="Aptos" w:eastAsia="Aptos" w:hAnsi="Aptos" w:cs="Aptos"/>
          <w:sz w:val="22"/>
          <w:szCs w:val="22"/>
          <w:u w:val="single"/>
        </w:rPr>
      </w:pPr>
    </w:p>
    <w:tbl>
      <w:tblPr>
        <w:tblStyle w:val="a0"/>
        <w:tblW w:w="9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0"/>
      </w:tblGrid>
      <w:tr w:rsidR="00A90491" w:rsidTr="00E339A7">
        <w:tc>
          <w:tcPr>
            <w:tcW w:w="9020" w:type="dxa"/>
            <w:shd w:val="clear" w:color="auto" w:fill="auto"/>
            <w:tcMar>
              <w:top w:w="100" w:type="dxa"/>
              <w:left w:w="100" w:type="dxa"/>
              <w:bottom w:w="100" w:type="dxa"/>
              <w:right w:w="100" w:type="dxa"/>
            </w:tcMar>
          </w:tcPr>
          <w:p w:rsidR="00A90491" w:rsidRPr="000A4DF9" w:rsidRDefault="00A90491" w:rsidP="00E339A7">
            <w:pPr>
              <w:spacing w:before="120" w:after="120" w:line="278" w:lineRule="auto"/>
              <w:ind w:right="14"/>
              <w:rPr>
                <w:rFonts w:ascii="Arial" w:eastAsia="Arial" w:hAnsi="Arial" w:cs="Arial"/>
                <w:sz w:val="22"/>
                <w:szCs w:val="22"/>
              </w:rPr>
            </w:pPr>
            <w:r w:rsidRPr="000A4DF9">
              <w:rPr>
                <w:rFonts w:ascii="Arial" w:eastAsia="Arial" w:hAnsi="Arial" w:cs="Arial"/>
                <w:sz w:val="22"/>
                <w:szCs w:val="22"/>
              </w:rPr>
              <w:t xml:space="preserve">Working Group Three </w:t>
            </w:r>
            <w:r w:rsidR="00DE48D7" w:rsidRPr="00DE48D7">
              <w:rPr>
                <w:rFonts w:ascii="Arial" w:eastAsia="Arial" w:hAnsi="Arial" w:cs="Arial"/>
                <w:sz w:val="22"/>
                <w:szCs w:val="22"/>
              </w:rPr>
              <w:t>recommendation to</w:t>
            </w:r>
            <w:r w:rsidR="00DE48D7" w:rsidRPr="000A4DF9">
              <w:rPr>
                <w:rFonts w:ascii="Arial" w:eastAsia="Arial" w:hAnsi="Arial" w:cs="Arial"/>
                <w:b/>
                <w:bCs/>
                <w:sz w:val="22"/>
                <w:szCs w:val="22"/>
              </w:rPr>
              <w:t xml:space="preserve"> </w:t>
            </w:r>
            <w:r w:rsidRPr="000A4DF9">
              <w:rPr>
                <w:rFonts w:ascii="Arial" w:eastAsia="Arial" w:hAnsi="Arial" w:cs="Arial"/>
                <w:sz w:val="22"/>
                <w:szCs w:val="22"/>
              </w:rPr>
              <w:t>the ICG/PTWS:</w:t>
            </w:r>
          </w:p>
          <w:p w:rsidR="00A90491" w:rsidRDefault="00A90491" w:rsidP="00A90491">
            <w:pPr>
              <w:spacing w:before="120" w:after="120" w:line="278" w:lineRule="auto"/>
              <w:ind w:right="14"/>
              <w:rPr>
                <w:rFonts w:ascii="Arial" w:eastAsia="Arial" w:hAnsi="Arial" w:cs="Arial"/>
                <w:sz w:val="22"/>
                <w:szCs w:val="22"/>
              </w:rPr>
            </w:pPr>
            <w:r>
              <w:rPr>
                <w:rFonts w:ascii="Arial" w:eastAsia="Arial" w:hAnsi="Arial" w:cs="Arial"/>
                <w:b/>
                <w:bCs/>
                <w:sz w:val="22"/>
                <w:szCs w:val="22"/>
              </w:rPr>
              <w:t>Recall</w:t>
            </w:r>
            <w:r w:rsidR="001444F4">
              <w:rPr>
                <w:rFonts w:ascii="Arial" w:eastAsia="Arial" w:hAnsi="Arial" w:cs="Arial"/>
                <w:b/>
                <w:bCs/>
                <w:sz w:val="22"/>
                <w:szCs w:val="22"/>
              </w:rPr>
              <w:t>ing</w:t>
            </w:r>
            <w:r>
              <w:rPr>
                <w:rFonts w:ascii="Arial" w:eastAsia="Arial" w:hAnsi="Arial" w:cs="Arial"/>
                <w:b/>
                <w:bCs/>
                <w:sz w:val="22"/>
                <w:szCs w:val="22"/>
              </w:rPr>
              <w:t xml:space="preserve"> </w:t>
            </w:r>
            <w:r>
              <w:rPr>
                <w:rFonts w:ascii="Arial" w:eastAsia="Arial" w:hAnsi="Arial" w:cs="Arial"/>
                <w:sz w:val="22"/>
                <w:szCs w:val="22"/>
              </w:rPr>
              <w:t xml:space="preserve">that nearly 70% of the world's historical tsunamis </w:t>
            </w:r>
            <w:r w:rsidR="001444F4">
              <w:rPr>
                <w:rFonts w:ascii="Arial" w:eastAsia="Arial" w:hAnsi="Arial" w:cs="Arial"/>
                <w:sz w:val="22"/>
                <w:szCs w:val="22"/>
              </w:rPr>
              <w:t>have occurred in the Pacific, with</w:t>
            </w:r>
            <w:r>
              <w:rPr>
                <w:rFonts w:ascii="Arial" w:eastAsia="Arial" w:hAnsi="Arial" w:cs="Arial"/>
                <w:sz w:val="22"/>
                <w:szCs w:val="22"/>
              </w:rPr>
              <w:t xml:space="preserve"> 99% of the tsunami deaths from local and regional tsunamis,</w:t>
            </w:r>
            <w:r w:rsidR="001444F4">
              <w:rPr>
                <w:rFonts w:ascii="Arial" w:eastAsia="Arial" w:hAnsi="Arial" w:cs="Arial"/>
                <w:sz w:val="22"/>
                <w:szCs w:val="22"/>
              </w:rPr>
              <w:t xml:space="preserve"> thus making tsunami community preparedness, such as through </w:t>
            </w:r>
            <w:proofErr w:type="spellStart"/>
            <w:r w:rsidR="001444F4">
              <w:rPr>
                <w:rFonts w:ascii="Arial" w:eastAsia="Arial" w:hAnsi="Arial" w:cs="Arial"/>
                <w:sz w:val="22"/>
                <w:szCs w:val="22"/>
              </w:rPr>
              <w:t>programmes</w:t>
            </w:r>
            <w:proofErr w:type="spellEnd"/>
            <w:r w:rsidR="001444F4">
              <w:rPr>
                <w:rFonts w:ascii="Arial" w:eastAsia="Arial" w:hAnsi="Arial" w:cs="Arial"/>
                <w:sz w:val="22"/>
                <w:szCs w:val="22"/>
              </w:rPr>
              <w:t xml:space="preserve"> like Tsunami Ready, a high-priority action for saving lives,</w:t>
            </w:r>
          </w:p>
          <w:p w:rsidR="00A90491" w:rsidRPr="00A90491" w:rsidRDefault="00A90491" w:rsidP="00A90491">
            <w:pPr>
              <w:spacing w:before="120" w:after="120" w:line="278" w:lineRule="auto"/>
              <w:ind w:right="14"/>
              <w:rPr>
                <w:rFonts w:ascii="Arial" w:eastAsia="Arial" w:hAnsi="Arial" w:cs="Arial"/>
                <w:b/>
                <w:bCs/>
                <w:sz w:val="22"/>
                <w:szCs w:val="22"/>
              </w:rPr>
            </w:pPr>
            <w:r w:rsidRPr="000A4DF9">
              <w:rPr>
                <w:rFonts w:ascii="Arial" w:eastAsia="Arial" w:hAnsi="Arial" w:cs="Arial"/>
                <w:b/>
                <w:bCs/>
                <w:sz w:val="22"/>
                <w:szCs w:val="22"/>
              </w:rPr>
              <w:t xml:space="preserve">Notes </w:t>
            </w:r>
            <w:r w:rsidRPr="000A4DF9">
              <w:rPr>
                <w:rFonts w:ascii="Arial" w:eastAsia="Arial" w:hAnsi="Arial" w:cs="Arial"/>
                <w:sz w:val="22"/>
                <w:szCs w:val="22"/>
              </w:rPr>
              <w:t xml:space="preserve">the </w:t>
            </w:r>
            <w:r>
              <w:rPr>
                <w:rFonts w:ascii="Arial" w:eastAsia="Arial" w:hAnsi="Arial" w:cs="Arial"/>
                <w:sz w:val="22"/>
                <w:szCs w:val="22"/>
              </w:rPr>
              <w:t>approval of the Tsunami Ready Coalition Implementation Plan by the TOWS-XVII WG</w:t>
            </w:r>
            <w:r>
              <w:rPr>
                <w:rFonts w:ascii="Arial" w:eastAsia="Arial" w:hAnsi="Arial" w:cs="Arial"/>
                <w:sz w:val="22"/>
                <w:szCs w:val="22"/>
              </w:rPr>
              <w:t xml:space="preserve">, </w:t>
            </w:r>
            <w:r>
              <w:rPr>
                <w:rFonts w:ascii="Arial" w:eastAsia="Arial" w:hAnsi="Arial" w:cs="Arial"/>
                <w:sz w:val="22"/>
                <w:szCs w:val="22"/>
              </w:rPr>
              <w:t xml:space="preserve">towards </w:t>
            </w:r>
            <w:r w:rsidR="001444F4">
              <w:rPr>
                <w:rFonts w:ascii="Arial" w:eastAsia="Arial" w:hAnsi="Arial" w:cs="Arial"/>
                <w:sz w:val="22"/>
                <w:szCs w:val="22"/>
              </w:rPr>
              <w:t>realizing</w:t>
            </w:r>
            <w:r>
              <w:rPr>
                <w:rFonts w:ascii="Arial" w:eastAsia="Arial" w:hAnsi="Arial" w:cs="Arial"/>
                <w:sz w:val="22"/>
                <w:szCs w:val="22"/>
              </w:rPr>
              <w:t xml:space="preserve"> </w:t>
            </w:r>
            <w:r w:rsidR="001444F4">
              <w:rPr>
                <w:rFonts w:ascii="Arial" w:eastAsia="Arial" w:hAnsi="Arial" w:cs="Arial"/>
                <w:sz w:val="22"/>
                <w:szCs w:val="22"/>
              </w:rPr>
              <w:t xml:space="preserve">and </w:t>
            </w:r>
            <w:r>
              <w:rPr>
                <w:rFonts w:ascii="Arial" w:eastAsia="Arial" w:hAnsi="Arial" w:cs="Arial"/>
                <w:sz w:val="22"/>
                <w:szCs w:val="22"/>
              </w:rPr>
              <w:t xml:space="preserve">sustaining </w:t>
            </w:r>
            <w:r w:rsidR="001444F4">
              <w:rPr>
                <w:rFonts w:ascii="Arial" w:eastAsia="Arial" w:hAnsi="Arial" w:cs="Arial"/>
                <w:sz w:val="22"/>
                <w:szCs w:val="22"/>
              </w:rPr>
              <w:t xml:space="preserve">tsunami readiness </w:t>
            </w:r>
            <w:r>
              <w:rPr>
                <w:rFonts w:ascii="Arial" w:eastAsia="Arial" w:hAnsi="Arial" w:cs="Arial"/>
                <w:sz w:val="22"/>
                <w:szCs w:val="22"/>
              </w:rPr>
              <w:t>through targeted promotion, advocacy, resource mobilization, networking, influence, and advice</w:t>
            </w:r>
          </w:p>
          <w:p w:rsidR="00A90491" w:rsidRPr="00001FB0" w:rsidRDefault="00A90491" w:rsidP="00E339A7">
            <w:pPr>
              <w:spacing w:before="120" w:after="120" w:line="278" w:lineRule="auto"/>
              <w:ind w:right="14"/>
              <w:rPr>
                <w:rFonts w:ascii="Arial" w:eastAsia="Aptos" w:hAnsi="Arial" w:cs="Arial"/>
                <w:sz w:val="22"/>
                <w:szCs w:val="22"/>
              </w:rPr>
            </w:pPr>
            <w:r w:rsidRPr="000A4DF9">
              <w:rPr>
                <w:rFonts w:ascii="Arial" w:eastAsia="Arial" w:hAnsi="Arial" w:cs="Arial"/>
                <w:b/>
                <w:bCs/>
                <w:sz w:val="22"/>
                <w:szCs w:val="22"/>
              </w:rPr>
              <w:lastRenderedPageBreak/>
              <w:t>Requests</w:t>
            </w:r>
            <w:r w:rsidRPr="00001FB0">
              <w:rPr>
                <w:rFonts w:ascii="Arial" w:eastAsia="Arial" w:hAnsi="Arial" w:cs="Arial"/>
                <w:sz w:val="22"/>
                <w:szCs w:val="22"/>
              </w:rPr>
              <w:t xml:space="preserve"> Working Group 3 </w:t>
            </w:r>
            <w:r>
              <w:rPr>
                <w:rFonts w:ascii="Arial" w:eastAsia="Arial" w:hAnsi="Arial" w:cs="Arial"/>
                <w:sz w:val="22"/>
                <w:szCs w:val="22"/>
              </w:rPr>
              <w:t xml:space="preserve">to </w:t>
            </w:r>
            <w:r w:rsidR="001444F4">
              <w:rPr>
                <w:rFonts w:ascii="Arial" w:eastAsia="Arial" w:hAnsi="Arial" w:cs="Arial"/>
                <w:sz w:val="22"/>
                <w:szCs w:val="22"/>
              </w:rPr>
              <w:t xml:space="preserve">actively </w:t>
            </w:r>
            <w:r>
              <w:rPr>
                <w:rFonts w:ascii="Arial" w:eastAsia="Arial" w:hAnsi="Arial" w:cs="Arial"/>
                <w:sz w:val="22"/>
                <w:szCs w:val="22"/>
              </w:rPr>
              <w:t>support the</w:t>
            </w:r>
            <w:r w:rsidR="001444F4">
              <w:rPr>
                <w:rFonts w:ascii="Arial" w:eastAsia="Arial" w:hAnsi="Arial" w:cs="Arial"/>
                <w:sz w:val="22"/>
                <w:szCs w:val="22"/>
              </w:rPr>
              <w:t xml:space="preserve"> </w:t>
            </w:r>
            <w:r w:rsidR="001444F4">
              <w:rPr>
                <w:rFonts w:ascii="Arial" w:eastAsia="Arial" w:hAnsi="Arial" w:cs="Arial"/>
                <w:color w:val="000000" w:themeColor="text1"/>
                <w:sz w:val="22"/>
                <w:szCs w:val="22"/>
              </w:rPr>
              <w:t>im</w:t>
            </w:r>
            <w:r w:rsidRPr="00A90491">
              <w:rPr>
                <w:rFonts w:ascii="Arial" w:eastAsia="Arial" w:hAnsi="Arial" w:cs="Arial"/>
                <w:color w:val="000000" w:themeColor="text1"/>
                <w:sz w:val="22"/>
                <w:szCs w:val="22"/>
              </w:rPr>
              <w:t>plementation activities of the Tsunami Ready Coalition</w:t>
            </w:r>
          </w:p>
        </w:tc>
      </w:tr>
    </w:tbl>
    <w:p w:rsidR="00111F32" w:rsidRDefault="00000000">
      <w:pPr>
        <w:spacing w:before="240" w:after="240" w:line="259" w:lineRule="auto"/>
        <w:jc w:val="both"/>
        <w:rPr>
          <w:rFonts w:ascii="Arial" w:eastAsia="Arial" w:hAnsi="Arial" w:cs="Arial"/>
          <w:b/>
          <w:sz w:val="22"/>
          <w:szCs w:val="22"/>
        </w:rPr>
      </w:pPr>
      <w:r>
        <w:rPr>
          <w:rFonts w:ascii="Arial" w:eastAsia="Arial" w:hAnsi="Arial" w:cs="Arial"/>
          <w:b/>
          <w:sz w:val="22"/>
          <w:szCs w:val="22"/>
        </w:rPr>
        <w:lastRenderedPageBreak/>
        <w:t>Supporting the UN Ocean Decade</w:t>
      </w:r>
    </w:p>
    <w:p w:rsidR="00111F32" w:rsidRDefault="00000000" w:rsidP="00123AAE">
      <w:pPr>
        <w:spacing w:before="240" w:after="240" w:line="276" w:lineRule="auto"/>
        <w:rPr>
          <w:rFonts w:ascii="Arial" w:eastAsia="Arial" w:hAnsi="Arial" w:cs="Arial"/>
          <w:sz w:val="22"/>
          <w:szCs w:val="22"/>
        </w:rPr>
      </w:pPr>
      <w:r>
        <w:rPr>
          <w:rFonts w:ascii="Arial" w:eastAsia="Arial" w:hAnsi="Arial" w:cs="Arial"/>
          <w:sz w:val="22"/>
          <w:szCs w:val="22"/>
        </w:rPr>
        <w:t>The implementation of the UNESCO</w:t>
      </w:r>
      <w:r w:rsidR="0009764E">
        <w:rPr>
          <w:rFonts w:ascii="Arial" w:eastAsia="Arial" w:hAnsi="Arial" w:cs="Arial"/>
          <w:sz w:val="22"/>
          <w:szCs w:val="22"/>
        </w:rPr>
        <w:t>-</w:t>
      </w:r>
      <w:r>
        <w:rPr>
          <w:rFonts w:ascii="Arial" w:eastAsia="Arial" w:hAnsi="Arial" w:cs="Arial"/>
          <w:sz w:val="22"/>
          <w:szCs w:val="22"/>
        </w:rPr>
        <w:t xml:space="preserve">IOC Tsunami Ready Recognition </w:t>
      </w:r>
      <w:proofErr w:type="spellStart"/>
      <w:r>
        <w:rPr>
          <w:rFonts w:ascii="Arial" w:eastAsia="Arial" w:hAnsi="Arial" w:cs="Arial"/>
          <w:sz w:val="22"/>
          <w:szCs w:val="22"/>
        </w:rPr>
        <w:t>Programme</w:t>
      </w:r>
      <w:proofErr w:type="spellEnd"/>
      <w:r>
        <w:rPr>
          <w:rFonts w:ascii="Arial" w:eastAsia="Arial" w:hAnsi="Arial" w:cs="Arial"/>
          <w:sz w:val="22"/>
          <w:szCs w:val="22"/>
        </w:rPr>
        <w:t xml:space="preserve"> remains a key contribution to achieve the societal outcome ‘A Safe Ocean’ of the UN Ocean Decade. </w:t>
      </w:r>
    </w:p>
    <w:p w:rsidR="00111F32" w:rsidRDefault="00000000" w:rsidP="00123AAE">
      <w:pPr>
        <w:spacing w:before="240" w:after="240" w:line="276" w:lineRule="auto"/>
        <w:rPr>
          <w:rFonts w:ascii="Arial" w:eastAsia="Arial" w:hAnsi="Arial" w:cs="Arial"/>
          <w:sz w:val="22"/>
          <w:szCs w:val="22"/>
        </w:rPr>
      </w:pPr>
      <w:r>
        <w:rPr>
          <w:rFonts w:ascii="Arial" w:eastAsia="Arial" w:hAnsi="Arial" w:cs="Arial"/>
          <w:sz w:val="22"/>
          <w:szCs w:val="22"/>
        </w:rPr>
        <w:t xml:space="preserve">Through the </w:t>
      </w:r>
      <w:r w:rsidR="0009764E">
        <w:rPr>
          <w:rFonts w:ascii="Arial" w:eastAsia="Arial" w:hAnsi="Arial" w:cs="Arial"/>
          <w:sz w:val="22"/>
          <w:szCs w:val="22"/>
        </w:rPr>
        <w:t xml:space="preserve">PTWS WG3 </w:t>
      </w:r>
      <w:r>
        <w:rPr>
          <w:rFonts w:ascii="Arial" w:eastAsia="Arial" w:hAnsi="Arial" w:cs="Arial"/>
          <w:sz w:val="22"/>
          <w:szCs w:val="22"/>
        </w:rPr>
        <w:t xml:space="preserve">Task Team Tsunami Ready, the Working Group continues to support progress towards this goal. </w:t>
      </w:r>
      <w:r w:rsidR="0009764E">
        <w:rPr>
          <w:rFonts w:ascii="Arial" w:eastAsia="Arial" w:hAnsi="Arial" w:cs="Arial"/>
          <w:sz w:val="22"/>
          <w:szCs w:val="22"/>
        </w:rPr>
        <w:t xml:space="preserve"> </w:t>
      </w:r>
      <w:r>
        <w:rPr>
          <w:rFonts w:ascii="Arial" w:eastAsia="Arial" w:hAnsi="Arial" w:cs="Arial"/>
          <w:sz w:val="22"/>
          <w:szCs w:val="22"/>
        </w:rPr>
        <w:t xml:space="preserve">The </w:t>
      </w:r>
      <w:r w:rsidR="0009764E">
        <w:rPr>
          <w:rFonts w:ascii="Arial" w:eastAsia="Arial" w:hAnsi="Arial" w:cs="Arial"/>
          <w:sz w:val="22"/>
          <w:szCs w:val="22"/>
        </w:rPr>
        <w:t>W</w:t>
      </w:r>
      <w:r>
        <w:rPr>
          <w:rFonts w:ascii="Arial" w:eastAsia="Arial" w:hAnsi="Arial" w:cs="Arial"/>
          <w:sz w:val="22"/>
          <w:szCs w:val="22"/>
        </w:rPr>
        <w:t xml:space="preserve">orking </w:t>
      </w:r>
      <w:r w:rsidR="0009764E">
        <w:rPr>
          <w:rFonts w:ascii="Arial" w:eastAsia="Arial" w:hAnsi="Arial" w:cs="Arial"/>
          <w:sz w:val="22"/>
          <w:szCs w:val="22"/>
        </w:rPr>
        <w:t>G</w:t>
      </w:r>
      <w:r>
        <w:rPr>
          <w:rFonts w:ascii="Arial" w:eastAsia="Arial" w:hAnsi="Arial" w:cs="Arial"/>
          <w:sz w:val="22"/>
          <w:szCs w:val="22"/>
        </w:rPr>
        <w:t xml:space="preserve">roup can also act as a key engagement mechanism </w:t>
      </w:r>
    </w:p>
    <w:p w:rsidR="00111F32" w:rsidRDefault="00000000">
      <w:pPr>
        <w:spacing w:before="240" w:after="240" w:line="276" w:lineRule="auto"/>
        <w:jc w:val="both"/>
        <w:rPr>
          <w:rFonts w:ascii="Arial" w:eastAsia="Arial" w:hAnsi="Arial" w:cs="Arial"/>
          <w:b/>
          <w:sz w:val="22"/>
          <w:szCs w:val="22"/>
        </w:rPr>
      </w:pPr>
      <w:r>
        <w:rPr>
          <w:rFonts w:ascii="Arial" w:eastAsia="Arial" w:hAnsi="Arial" w:cs="Arial"/>
          <w:b/>
          <w:sz w:val="22"/>
          <w:szCs w:val="22"/>
        </w:rPr>
        <w:t>Supporting other bodies</w:t>
      </w:r>
    </w:p>
    <w:p w:rsidR="00755C6B" w:rsidRDefault="00000000" w:rsidP="00123AAE">
      <w:pPr>
        <w:pBdr>
          <w:top w:val="nil"/>
          <w:left w:val="nil"/>
          <w:bottom w:val="nil"/>
          <w:right w:val="nil"/>
          <w:between w:val="nil"/>
        </w:pBdr>
        <w:spacing w:before="240" w:after="240" w:line="276" w:lineRule="auto"/>
        <w:rPr>
          <w:rFonts w:ascii="Arial" w:eastAsia="Arial" w:hAnsi="Arial" w:cs="Arial"/>
          <w:color w:val="000000"/>
          <w:sz w:val="22"/>
          <w:szCs w:val="22"/>
        </w:rPr>
      </w:pPr>
      <w:r w:rsidRPr="002B2C40">
        <w:rPr>
          <w:rFonts w:ascii="Arial" w:eastAsia="Arial" w:hAnsi="Arial" w:cs="Arial"/>
          <w:color w:val="000000"/>
          <w:sz w:val="22"/>
          <w:szCs w:val="22"/>
        </w:rPr>
        <w:t xml:space="preserve">The Working Group, through the Director of ITIC, continued to participate in the IUGG Joint Tsunami Commission (JTC). </w:t>
      </w:r>
      <w:r w:rsidR="002B2C40" w:rsidRPr="002B2C40">
        <w:rPr>
          <w:rFonts w:ascii="Arial" w:eastAsia="Arial" w:hAnsi="Arial" w:cs="Arial"/>
          <w:color w:val="000000"/>
          <w:sz w:val="22"/>
          <w:szCs w:val="22"/>
        </w:rPr>
        <w:t xml:space="preserve"> The IUGG and </w:t>
      </w:r>
      <w:r w:rsidR="00B44C4F">
        <w:rPr>
          <w:rFonts w:ascii="Arial" w:eastAsia="Arial" w:hAnsi="Arial" w:cs="Arial"/>
          <w:color w:val="000000"/>
          <w:sz w:val="22"/>
          <w:szCs w:val="22"/>
        </w:rPr>
        <w:t xml:space="preserve">ITIC </w:t>
      </w:r>
      <w:r w:rsidR="002B2C40" w:rsidRPr="002B2C40">
        <w:rPr>
          <w:rFonts w:ascii="Arial" w:eastAsia="Arial" w:hAnsi="Arial" w:cs="Arial"/>
          <w:color w:val="000000"/>
          <w:sz w:val="22"/>
          <w:szCs w:val="22"/>
        </w:rPr>
        <w:t xml:space="preserve">were part of the organizing committee and speakers at the </w:t>
      </w:r>
      <w:r w:rsidR="002B2C40" w:rsidRPr="002B2C40">
        <w:rPr>
          <w:rFonts w:ascii="Arial" w:eastAsia="Arial" w:hAnsi="Arial" w:cs="Arial"/>
          <w:color w:val="000000"/>
          <w:sz w:val="22"/>
          <w:szCs w:val="22"/>
        </w:rPr>
        <w:t>2nd UNESCO-IOC Global Tsunami Symposium on Two Decades After 2004 Indian Ocean Tsunami: Reflection and Way Forward</w:t>
      </w:r>
      <w:r w:rsidR="002B2C40" w:rsidRPr="002B2C40">
        <w:rPr>
          <w:rFonts w:ascii="Arial" w:eastAsia="Arial" w:hAnsi="Arial" w:cs="Arial"/>
          <w:color w:val="000000"/>
          <w:sz w:val="22"/>
          <w:szCs w:val="22"/>
        </w:rPr>
        <w:t xml:space="preserve"> (</w:t>
      </w:r>
      <w:r w:rsidR="002B2C40" w:rsidRPr="002B2C40">
        <w:rPr>
          <w:rFonts w:ascii="Arial" w:eastAsia="Arial" w:hAnsi="Arial" w:cs="Arial"/>
          <w:color w:val="000000"/>
          <w:sz w:val="22"/>
          <w:szCs w:val="22"/>
        </w:rPr>
        <w:t>November 2024</w:t>
      </w:r>
      <w:r w:rsidR="002B2C40" w:rsidRPr="002B2C40">
        <w:rPr>
          <w:rFonts w:ascii="Arial" w:eastAsia="Arial" w:hAnsi="Arial" w:cs="Arial"/>
          <w:color w:val="000000"/>
          <w:sz w:val="22"/>
          <w:szCs w:val="22"/>
        </w:rPr>
        <w:t xml:space="preserve">), and similarly for the </w:t>
      </w:r>
      <w:r w:rsidR="002B2C40" w:rsidRPr="002B2C40">
        <w:rPr>
          <w:rFonts w:ascii="Arial" w:eastAsia="Arial" w:hAnsi="Arial" w:cs="Arial"/>
          <w:color w:val="000000"/>
          <w:sz w:val="22"/>
          <w:szCs w:val="22"/>
        </w:rPr>
        <w:t>9th Joint ICG/PTWS–IUGG/JTC Workshop</w:t>
      </w:r>
      <w:r w:rsidR="002B2C40" w:rsidRPr="002B2C40">
        <w:rPr>
          <w:rFonts w:ascii="Arial" w:eastAsia="Arial" w:hAnsi="Arial" w:cs="Arial"/>
          <w:color w:val="000000"/>
          <w:sz w:val="22"/>
          <w:szCs w:val="22"/>
        </w:rPr>
        <w:t xml:space="preserve">, </w:t>
      </w:r>
      <w:r w:rsidR="002B2C40" w:rsidRPr="002B2C40">
        <w:rPr>
          <w:rFonts w:ascii="Arial" w:eastAsia="Arial" w:hAnsi="Arial" w:cs="Arial"/>
          <w:color w:val="000000"/>
          <w:sz w:val="22"/>
          <w:szCs w:val="22"/>
        </w:rPr>
        <w:t xml:space="preserve">60th Anniversary of the ICG/PTWS – Past and Future </w:t>
      </w:r>
      <w:r w:rsidR="002B2C40" w:rsidRPr="002B2C40">
        <w:rPr>
          <w:rFonts w:ascii="Arial" w:eastAsia="Arial" w:hAnsi="Arial" w:cs="Arial"/>
          <w:color w:val="000000"/>
          <w:sz w:val="22"/>
          <w:szCs w:val="22"/>
        </w:rPr>
        <w:t xml:space="preserve">(April 2025).  </w:t>
      </w:r>
      <w:r w:rsidR="00B44C4F">
        <w:rPr>
          <w:rFonts w:ascii="Arial" w:eastAsia="Arial" w:hAnsi="Arial" w:cs="Arial"/>
          <w:color w:val="000000"/>
          <w:sz w:val="22"/>
          <w:szCs w:val="22"/>
        </w:rPr>
        <w:t>The ITIC</w:t>
      </w:r>
      <w:r w:rsidR="00755C6B">
        <w:rPr>
          <w:rFonts w:ascii="Arial" w:eastAsia="Arial" w:hAnsi="Arial" w:cs="Arial"/>
          <w:color w:val="000000"/>
          <w:sz w:val="22"/>
          <w:szCs w:val="22"/>
        </w:rPr>
        <w:t xml:space="preserve"> Director </w:t>
      </w:r>
      <w:r w:rsidR="00C91049">
        <w:rPr>
          <w:rFonts w:ascii="Arial" w:eastAsia="Arial" w:hAnsi="Arial" w:cs="Arial"/>
          <w:color w:val="000000"/>
          <w:sz w:val="22"/>
          <w:szCs w:val="22"/>
        </w:rPr>
        <w:t>made presentations</w:t>
      </w:r>
      <w:r w:rsidR="00755C6B">
        <w:rPr>
          <w:rFonts w:ascii="Arial" w:eastAsia="Arial" w:hAnsi="Arial" w:cs="Arial"/>
          <w:color w:val="000000"/>
          <w:sz w:val="22"/>
          <w:szCs w:val="22"/>
        </w:rPr>
        <w:t xml:space="preserve"> on tsunami </w:t>
      </w:r>
      <w:r w:rsidR="00C91049">
        <w:rPr>
          <w:rFonts w:ascii="Arial" w:eastAsia="Arial" w:hAnsi="Arial" w:cs="Arial"/>
          <w:color w:val="000000"/>
          <w:sz w:val="22"/>
          <w:szCs w:val="22"/>
        </w:rPr>
        <w:t xml:space="preserve">awareness and </w:t>
      </w:r>
      <w:r w:rsidR="00755C6B">
        <w:rPr>
          <w:rFonts w:ascii="Arial" w:eastAsia="Arial" w:hAnsi="Arial" w:cs="Arial"/>
          <w:color w:val="000000"/>
          <w:sz w:val="22"/>
          <w:szCs w:val="22"/>
        </w:rPr>
        <w:t xml:space="preserve">preparedness, </w:t>
      </w:r>
      <w:r w:rsidR="00C91049">
        <w:rPr>
          <w:rFonts w:ascii="Arial" w:eastAsia="Arial" w:hAnsi="Arial" w:cs="Arial"/>
          <w:color w:val="000000"/>
          <w:sz w:val="22"/>
          <w:szCs w:val="22"/>
        </w:rPr>
        <w:t xml:space="preserve">the Tsunami Ready Coalition, and the implementation and sustainability of </w:t>
      </w:r>
      <w:r w:rsidR="00755C6B">
        <w:rPr>
          <w:rFonts w:ascii="Arial" w:eastAsia="Arial" w:hAnsi="Arial" w:cs="Arial"/>
          <w:color w:val="000000"/>
          <w:sz w:val="22"/>
          <w:szCs w:val="22"/>
        </w:rPr>
        <w:t>Tsunami Ready</w:t>
      </w:r>
      <w:r w:rsidR="00C91049">
        <w:rPr>
          <w:rFonts w:ascii="Arial" w:eastAsia="Arial" w:hAnsi="Arial" w:cs="Arial"/>
          <w:color w:val="000000"/>
          <w:sz w:val="22"/>
          <w:szCs w:val="22"/>
        </w:rPr>
        <w:t xml:space="preserve"> implementation</w:t>
      </w:r>
      <w:r w:rsidR="00755C6B">
        <w:rPr>
          <w:rFonts w:ascii="Arial" w:eastAsia="Arial" w:hAnsi="Arial" w:cs="Arial"/>
          <w:color w:val="000000"/>
          <w:sz w:val="22"/>
          <w:szCs w:val="22"/>
        </w:rPr>
        <w:t>.</w:t>
      </w:r>
    </w:p>
    <w:p w:rsidR="00111F32" w:rsidRPr="002B2C40" w:rsidRDefault="002B2C40" w:rsidP="00123AAE">
      <w:pPr>
        <w:pBdr>
          <w:top w:val="nil"/>
          <w:left w:val="nil"/>
          <w:bottom w:val="nil"/>
          <w:right w:val="nil"/>
          <w:between w:val="nil"/>
        </w:pBdr>
        <w:spacing w:before="240" w:after="240" w:line="276" w:lineRule="auto"/>
        <w:rPr>
          <w:rFonts w:ascii="Arial" w:eastAsia="Arial" w:hAnsi="Arial" w:cs="Arial"/>
          <w:color w:val="000000"/>
          <w:sz w:val="22"/>
          <w:szCs w:val="22"/>
        </w:rPr>
      </w:pPr>
      <w:r w:rsidRPr="002B2C40">
        <w:rPr>
          <w:rFonts w:ascii="Arial" w:eastAsia="Arial" w:hAnsi="Arial" w:cs="Arial"/>
          <w:color w:val="000000"/>
          <w:sz w:val="22"/>
          <w:szCs w:val="22"/>
        </w:rPr>
        <w:t>The ITIC Director</w:t>
      </w:r>
      <w:r w:rsidR="00000000" w:rsidRPr="002B2C40">
        <w:rPr>
          <w:rFonts w:ascii="Arial" w:eastAsia="Arial" w:hAnsi="Arial" w:cs="Arial"/>
          <w:color w:val="000000"/>
          <w:sz w:val="22"/>
          <w:szCs w:val="22"/>
        </w:rPr>
        <w:t xml:space="preserve"> chairs the </w:t>
      </w:r>
      <w:r w:rsidR="00755C6B">
        <w:rPr>
          <w:rFonts w:ascii="Arial" w:eastAsia="Arial" w:hAnsi="Arial" w:cs="Arial"/>
          <w:color w:val="000000"/>
          <w:sz w:val="22"/>
          <w:szCs w:val="22"/>
        </w:rPr>
        <w:t xml:space="preserve">IUGG </w:t>
      </w:r>
      <w:r w:rsidR="00000000" w:rsidRPr="002B2C40">
        <w:rPr>
          <w:rFonts w:ascii="Arial" w:eastAsia="Arial" w:hAnsi="Arial" w:cs="Arial"/>
          <w:color w:val="000000"/>
          <w:sz w:val="22"/>
          <w:szCs w:val="22"/>
        </w:rPr>
        <w:t>JTC Worki</w:t>
      </w:r>
      <w:r w:rsidRPr="002B2C40">
        <w:rPr>
          <w:rFonts w:ascii="Arial" w:eastAsia="Arial" w:hAnsi="Arial" w:cs="Arial"/>
          <w:color w:val="000000"/>
          <w:sz w:val="22"/>
          <w:szCs w:val="22"/>
        </w:rPr>
        <w:t>n</w:t>
      </w:r>
      <w:r w:rsidR="00000000" w:rsidRPr="002B2C40">
        <w:rPr>
          <w:rFonts w:ascii="Arial" w:eastAsia="Arial" w:hAnsi="Arial" w:cs="Arial"/>
          <w:color w:val="000000"/>
          <w:sz w:val="22"/>
          <w:szCs w:val="22"/>
        </w:rPr>
        <w:t xml:space="preserve">g Group on Science-based Tsunami Warning, </w:t>
      </w:r>
      <w:r w:rsidR="00000000" w:rsidRPr="002B2C40">
        <w:rPr>
          <w:rFonts w:ascii="Arial" w:eastAsia="Arial" w:hAnsi="Arial" w:cs="Arial"/>
          <w:sz w:val="22"/>
          <w:szCs w:val="22"/>
        </w:rPr>
        <w:t>and is a member</w:t>
      </w:r>
      <w:r w:rsidR="00000000" w:rsidRPr="002B2C40">
        <w:rPr>
          <w:rFonts w:ascii="Arial" w:eastAsia="Arial" w:hAnsi="Arial" w:cs="Arial"/>
          <w:color w:val="000000"/>
          <w:sz w:val="22"/>
          <w:szCs w:val="22"/>
        </w:rPr>
        <w:t xml:space="preserve"> of the WG on Tsunami Terminology.</w:t>
      </w:r>
      <w:r w:rsidRPr="002B2C40">
        <w:rPr>
          <w:rFonts w:ascii="Arial" w:eastAsia="Arial" w:hAnsi="Arial" w:cs="Arial"/>
          <w:color w:val="000000"/>
          <w:sz w:val="22"/>
          <w:szCs w:val="22"/>
        </w:rPr>
        <w:t xml:space="preserve">  </w:t>
      </w:r>
      <w:r w:rsidRPr="002B2C40">
        <w:rPr>
          <w:rFonts w:ascii="Arial" w:eastAsia="Arial" w:hAnsi="Arial" w:cs="Arial"/>
          <w:color w:val="000000"/>
          <w:sz w:val="22"/>
          <w:szCs w:val="22"/>
        </w:rPr>
        <w:t>Further information is provided in the WDS/NCEI Report under Agenda 3.10 Report from UN/non-UN organizations</w:t>
      </w:r>
      <w:r>
        <w:rPr>
          <w:rFonts w:ascii="Arial" w:eastAsia="Arial" w:hAnsi="Arial" w:cs="Arial"/>
          <w:color w:val="000000"/>
          <w:sz w:val="22"/>
          <w:szCs w:val="22"/>
        </w:rPr>
        <w:t>.</w:t>
      </w:r>
    </w:p>
    <w:p w:rsidR="00111F32" w:rsidRDefault="00000000" w:rsidP="00123AAE">
      <w:pPr>
        <w:pBdr>
          <w:top w:val="nil"/>
          <w:left w:val="nil"/>
          <w:bottom w:val="nil"/>
          <w:right w:val="nil"/>
          <w:between w:val="nil"/>
        </w:pBdr>
        <w:spacing w:before="240" w:after="240" w:line="276" w:lineRule="auto"/>
        <w:rPr>
          <w:rFonts w:ascii="Arial" w:eastAsia="Arial" w:hAnsi="Arial" w:cs="Arial"/>
          <w:color w:val="000000"/>
          <w:sz w:val="22"/>
          <w:szCs w:val="22"/>
        </w:rPr>
      </w:pPr>
      <w:r>
        <w:rPr>
          <w:rFonts w:ascii="Arial" w:eastAsia="Arial" w:hAnsi="Arial" w:cs="Arial"/>
          <w:color w:val="000000"/>
          <w:sz w:val="22"/>
          <w:szCs w:val="22"/>
        </w:rPr>
        <w:t xml:space="preserve">The Working Group, through the ITIC, also works with the WDS/Marine Geology and Geophysics (MGG), which is hosted by the NOAA National Centers for Environmental Information (NCEI), to produce global and regional hazard maps to support hazard assessments, awareness and preparedness.  </w:t>
      </w:r>
      <w:r w:rsidR="002B2C40">
        <w:rPr>
          <w:rFonts w:ascii="Arial" w:eastAsia="Arial" w:hAnsi="Arial" w:cs="Arial"/>
          <w:color w:val="000000"/>
          <w:sz w:val="22"/>
          <w:szCs w:val="22"/>
        </w:rPr>
        <w:t xml:space="preserve">Further information is provided in the </w:t>
      </w:r>
      <w:r w:rsidR="002B2C40">
        <w:rPr>
          <w:rFonts w:ascii="Arial" w:eastAsia="Arial" w:hAnsi="Arial" w:cs="Arial"/>
          <w:color w:val="000000"/>
          <w:sz w:val="22"/>
          <w:szCs w:val="22"/>
        </w:rPr>
        <w:t xml:space="preserve">WDS/NCEI Report </w:t>
      </w:r>
      <w:r w:rsidR="002B2C40">
        <w:rPr>
          <w:rFonts w:ascii="Arial" w:eastAsia="Arial" w:hAnsi="Arial" w:cs="Arial"/>
          <w:color w:val="000000"/>
          <w:sz w:val="22"/>
          <w:szCs w:val="22"/>
        </w:rPr>
        <w:t>under Agenda 3.10 Report from UN/non-UN organizations</w:t>
      </w:r>
      <w:r w:rsidR="000E16BB">
        <w:rPr>
          <w:rFonts w:ascii="Arial" w:eastAsia="Arial" w:hAnsi="Arial" w:cs="Arial"/>
          <w:color w:val="000000"/>
          <w:sz w:val="22"/>
          <w:szCs w:val="22"/>
        </w:rPr>
        <w:t>.</w:t>
      </w:r>
    </w:p>
    <w:p w:rsidR="00A90491" w:rsidRDefault="0009764E" w:rsidP="00123AAE">
      <w:pPr>
        <w:pBdr>
          <w:top w:val="nil"/>
          <w:left w:val="nil"/>
          <w:bottom w:val="nil"/>
          <w:right w:val="nil"/>
          <w:between w:val="nil"/>
        </w:pBdr>
        <w:spacing w:before="240" w:after="240" w:line="276" w:lineRule="auto"/>
        <w:rPr>
          <w:rFonts w:ascii="Arial" w:eastAsia="Arial" w:hAnsi="Arial" w:cs="Arial"/>
          <w:color w:val="000000"/>
          <w:sz w:val="22"/>
          <w:szCs w:val="22"/>
        </w:rPr>
      </w:pPr>
      <w:r>
        <w:rPr>
          <w:rFonts w:ascii="Arial" w:eastAsia="Arial" w:hAnsi="Arial" w:cs="Arial"/>
          <w:color w:val="000000"/>
          <w:sz w:val="22"/>
          <w:szCs w:val="22"/>
        </w:rPr>
        <w:t xml:space="preserve">The Working Group, through the Director of ITIC, continued to participate in the </w:t>
      </w:r>
      <w:r>
        <w:rPr>
          <w:rFonts w:ascii="Arial" w:eastAsia="Arial" w:hAnsi="Arial" w:cs="Arial"/>
          <w:color w:val="000000"/>
          <w:sz w:val="22"/>
          <w:szCs w:val="22"/>
        </w:rPr>
        <w:t>ITU-WMO-UNESCO-IOC SMART Subsea Cable Joint Task Force (JTF).  The ITIC Director serves as the co-Chair of the JTF Science and Society Committee</w:t>
      </w:r>
      <w:r w:rsidR="002B2C40">
        <w:rPr>
          <w:rFonts w:ascii="Arial" w:eastAsia="Arial" w:hAnsi="Arial" w:cs="Arial"/>
          <w:color w:val="000000"/>
          <w:sz w:val="22"/>
          <w:szCs w:val="22"/>
        </w:rPr>
        <w:t xml:space="preserve"> (SSC)</w:t>
      </w:r>
      <w:r>
        <w:rPr>
          <w:rFonts w:ascii="Arial" w:eastAsia="Arial" w:hAnsi="Arial" w:cs="Arial"/>
          <w:color w:val="000000"/>
          <w:sz w:val="22"/>
          <w:szCs w:val="22"/>
        </w:rPr>
        <w:t xml:space="preserve">, with the SPC </w:t>
      </w:r>
      <w:r w:rsidR="00644C91" w:rsidRPr="00644C91">
        <w:rPr>
          <w:rFonts w:ascii="Arial" w:eastAsia="Arial" w:hAnsi="Arial" w:cs="Arial"/>
          <w:color w:val="000000"/>
          <w:sz w:val="22"/>
          <w:szCs w:val="22"/>
        </w:rPr>
        <w:t>Pacific Community Centre for Ocean Sciences</w:t>
      </w:r>
      <w:r>
        <w:rPr>
          <w:rFonts w:ascii="Arial" w:eastAsia="Arial" w:hAnsi="Arial" w:cs="Arial"/>
          <w:color w:val="000000"/>
          <w:sz w:val="22"/>
          <w:szCs w:val="22"/>
        </w:rPr>
        <w:t xml:space="preserve"> </w:t>
      </w:r>
      <w:r w:rsidR="00644C91">
        <w:rPr>
          <w:rFonts w:ascii="Arial" w:eastAsia="Arial" w:hAnsi="Arial" w:cs="Arial"/>
          <w:color w:val="000000"/>
          <w:sz w:val="22"/>
          <w:szCs w:val="22"/>
        </w:rPr>
        <w:t>(PCCOS) Head</w:t>
      </w:r>
      <w:r w:rsidR="002B2C40">
        <w:rPr>
          <w:rFonts w:ascii="Arial" w:eastAsia="Arial" w:hAnsi="Arial" w:cs="Arial"/>
          <w:color w:val="000000"/>
          <w:sz w:val="22"/>
          <w:szCs w:val="22"/>
        </w:rPr>
        <w:t xml:space="preserve">, Dr. </w:t>
      </w:r>
      <w:proofErr w:type="spellStart"/>
      <w:r w:rsidR="00644C91" w:rsidRPr="00644C91">
        <w:rPr>
          <w:rFonts w:ascii="Arial" w:eastAsia="Arial" w:hAnsi="Arial" w:cs="Arial"/>
          <w:color w:val="000000"/>
          <w:sz w:val="22"/>
          <w:szCs w:val="22"/>
        </w:rPr>
        <w:t>Jérome</w:t>
      </w:r>
      <w:proofErr w:type="spellEnd"/>
      <w:r w:rsidR="00644C91" w:rsidRPr="00644C91">
        <w:rPr>
          <w:rFonts w:ascii="Arial" w:eastAsia="Arial" w:hAnsi="Arial" w:cs="Arial"/>
          <w:color w:val="000000"/>
          <w:sz w:val="22"/>
          <w:szCs w:val="22"/>
        </w:rPr>
        <w:t xml:space="preserve"> </w:t>
      </w:r>
      <w:proofErr w:type="spellStart"/>
      <w:r w:rsidR="002B2C40">
        <w:rPr>
          <w:rFonts w:ascii="Arial" w:eastAsia="Arial" w:hAnsi="Arial" w:cs="Arial"/>
          <w:color w:val="000000"/>
          <w:sz w:val="22"/>
          <w:szCs w:val="22"/>
        </w:rPr>
        <w:t>Aucan</w:t>
      </w:r>
      <w:proofErr w:type="spellEnd"/>
      <w:r w:rsidR="002B2C40">
        <w:rPr>
          <w:rFonts w:ascii="Arial" w:eastAsia="Arial" w:hAnsi="Arial" w:cs="Arial"/>
          <w:color w:val="000000"/>
          <w:sz w:val="22"/>
          <w:szCs w:val="22"/>
        </w:rPr>
        <w:t xml:space="preserve">.  The JTF SSC also supports the SMART Subsea Cable International </w:t>
      </w:r>
      <w:proofErr w:type="spellStart"/>
      <w:r w:rsidR="002B2C40">
        <w:rPr>
          <w:rFonts w:ascii="Arial" w:eastAsia="Arial" w:hAnsi="Arial" w:cs="Arial"/>
          <w:color w:val="000000"/>
          <w:sz w:val="22"/>
          <w:szCs w:val="22"/>
        </w:rPr>
        <w:t>Programme</w:t>
      </w:r>
      <w:proofErr w:type="spellEnd"/>
      <w:r w:rsidR="002B2C40">
        <w:rPr>
          <w:rFonts w:ascii="Arial" w:eastAsia="Arial" w:hAnsi="Arial" w:cs="Arial"/>
          <w:color w:val="000000"/>
          <w:sz w:val="22"/>
          <w:szCs w:val="22"/>
        </w:rPr>
        <w:t xml:space="preserve"> Office (SMART IPO).  Further information is provided in the SMART Subsea Cable Report under Agenda 3.10 Report from UN/non-UN organizations</w:t>
      </w:r>
      <w:r w:rsidR="000E16BB">
        <w:rPr>
          <w:rFonts w:ascii="Arial" w:eastAsia="Arial" w:hAnsi="Arial" w:cs="Arial"/>
          <w:color w:val="000000"/>
          <w:sz w:val="22"/>
          <w:szCs w:val="22"/>
        </w:rPr>
        <w:t>.</w:t>
      </w:r>
    </w:p>
    <w:p w:rsidR="00111F32" w:rsidRPr="004D0DA1" w:rsidRDefault="00000000" w:rsidP="00123AAE">
      <w:pPr>
        <w:spacing w:before="240" w:after="240" w:line="276" w:lineRule="auto"/>
        <w:ind w:left="360" w:hanging="360"/>
        <w:rPr>
          <w:rFonts w:ascii="Arial" w:eastAsia="Arial" w:hAnsi="Arial" w:cs="Arial"/>
          <w:b/>
          <w:bCs/>
          <w:sz w:val="22"/>
          <w:szCs w:val="22"/>
          <w:u w:val="single"/>
        </w:rPr>
      </w:pPr>
      <w:r w:rsidRPr="004D0DA1">
        <w:rPr>
          <w:rFonts w:ascii="Arial" w:eastAsia="Arial" w:hAnsi="Arial" w:cs="Arial"/>
          <w:b/>
          <w:bCs/>
          <w:sz w:val="22"/>
          <w:szCs w:val="22"/>
          <w:u w:val="single"/>
        </w:rPr>
        <w:t>2.</w:t>
      </w:r>
      <w:r w:rsidRPr="00DC549D">
        <w:rPr>
          <w:rFonts w:ascii="Arial" w:eastAsia="Arial" w:hAnsi="Arial" w:cs="Arial"/>
          <w:b/>
          <w:bCs/>
          <w:sz w:val="22"/>
          <w:szCs w:val="22"/>
        </w:rPr>
        <w:tab/>
      </w:r>
      <w:r w:rsidRPr="004D0DA1">
        <w:rPr>
          <w:rFonts w:ascii="Arial" w:eastAsia="Arial" w:hAnsi="Arial" w:cs="Arial"/>
          <w:b/>
          <w:bCs/>
          <w:sz w:val="22"/>
          <w:szCs w:val="22"/>
          <w:u w:val="single"/>
        </w:rPr>
        <w:t>Promoting preparedness in coastal communities through education and awareness products and campaigns</w:t>
      </w:r>
    </w:p>
    <w:p w:rsidR="00111F32" w:rsidRDefault="00000000" w:rsidP="00123AAE">
      <w:pPr>
        <w:spacing w:before="240" w:after="240" w:line="276" w:lineRule="auto"/>
        <w:rPr>
          <w:rFonts w:ascii="Arial" w:eastAsia="Arial" w:hAnsi="Arial" w:cs="Arial"/>
          <w:b/>
          <w:sz w:val="22"/>
          <w:szCs w:val="22"/>
        </w:rPr>
      </w:pPr>
      <w:r>
        <w:rPr>
          <w:rFonts w:ascii="Arial" w:eastAsia="Arial" w:hAnsi="Arial" w:cs="Arial"/>
          <w:b/>
          <w:sz w:val="22"/>
          <w:szCs w:val="22"/>
        </w:rPr>
        <w:t>World Tsunami Awareness Day</w:t>
      </w:r>
    </w:p>
    <w:p w:rsidR="00111F32" w:rsidRDefault="00000000" w:rsidP="00123AAE">
      <w:pPr>
        <w:spacing w:before="240" w:after="240" w:line="276" w:lineRule="auto"/>
        <w:rPr>
          <w:rFonts w:ascii="Arial" w:eastAsia="Arial" w:hAnsi="Arial" w:cs="Arial"/>
          <w:sz w:val="22"/>
          <w:szCs w:val="22"/>
        </w:rPr>
      </w:pPr>
      <w:r>
        <w:rPr>
          <w:rFonts w:ascii="Arial" w:eastAsia="Arial" w:hAnsi="Arial" w:cs="Arial"/>
          <w:sz w:val="22"/>
          <w:szCs w:val="22"/>
        </w:rPr>
        <w:t xml:space="preserve">In 2024, the United Nations Office for Disaster Risk Reduction (UNDRR) was themed around ‘Lessons from the 2004 Indian Ocean Tsunami for the Next Generation’. This was </w:t>
      </w:r>
      <w:r>
        <w:rPr>
          <w:rFonts w:ascii="Arial" w:eastAsia="Arial" w:hAnsi="Arial" w:cs="Arial"/>
          <w:sz w:val="22"/>
          <w:szCs w:val="22"/>
        </w:rPr>
        <w:lastRenderedPageBreak/>
        <w:t>closely aligned with the International Day for Disaster Risk Reduction. A number of public events and exercises are being conducted within regions and by Member States in 2024 coinciding with World Tsunami Awareness Day, and the 20th Anniversary commemorations of the Indian Ocean tsunami.</w:t>
      </w:r>
      <w:r w:rsidR="00982D65">
        <w:rPr>
          <w:rFonts w:ascii="Arial" w:eastAsia="Arial" w:hAnsi="Arial" w:cs="Arial"/>
          <w:sz w:val="22"/>
          <w:szCs w:val="22"/>
        </w:rPr>
        <w:t xml:space="preserve">  The ITIC </w:t>
      </w:r>
      <w:r w:rsidR="00370AD2">
        <w:rPr>
          <w:rFonts w:ascii="Arial" w:eastAsia="Arial" w:hAnsi="Arial" w:cs="Arial"/>
          <w:sz w:val="22"/>
          <w:szCs w:val="22"/>
        </w:rPr>
        <w:t>supported the UNDRR / UNESCO-IOC contributions through a video recalling the progress since 2004 (</w:t>
      </w:r>
      <w:hyperlink r:id="rId7" w:history="1">
        <w:r w:rsidR="00370AD2" w:rsidRPr="00EA43B5">
          <w:rPr>
            <w:rStyle w:val="Hyperlink"/>
            <w:rFonts w:ascii="Arial" w:eastAsia="Arial" w:hAnsi="Arial" w:cs="Arial"/>
            <w:sz w:val="22"/>
            <w:szCs w:val="22"/>
          </w:rPr>
          <w:t>link here</w:t>
        </w:r>
      </w:hyperlink>
      <w:r w:rsidR="00370AD2">
        <w:rPr>
          <w:rFonts w:ascii="Arial" w:eastAsia="Arial" w:hAnsi="Arial" w:cs="Arial"/>
          <w:sz w:val="22"/>
          <w:szCs w:val="22"/>
        </w:rPr>
        <w:t>), input to the IOC's 20 year since publication (</w:t>
      </w:r>
      <w:hyperlink r:id="rId8" w:history="1">
        <w:r w:rsidR="00370AD2" w:rsidRPr="00EA43B5">
          <w:rPr>
            <w:rStyle w:val="Hyperlink"/>
            <w:rFonts w:ascii="Arial" w:eastAsia="Arial" w:hAnsi="Arial" w:cs="Arial"/>
            <w:sz w:val="22"/>
            <w:szCs w:val="22"/>
          </w:rPr>
          <w:t>link here</w:t>
        </w:r>
      </w:hyperlink>
      <w:r w:rsidR="00370AD2">
        <w:rPr>
          <w:rFonts w:ascii="Arial" w:eastAsia="Arial" w:hAnsi="Arial" w:cs="Arial"/>
          <w:sz w:val="22"/>
          <w:szCs w:val="22"/>
        </w:rPr>
        <w:t>), participation in the IOC's global press conferences in November in advance of the 20th anniversary</w:t>
      </w:r>
      <w:r w:rsidR="00EF701E">
        <w:rPr>
          <w:rFonts w:ascii="Arial" w:eastAsia="Arial" w:hAnsi="Arial" w:cs="Arial"/>
          <w:sz w:val="22"/>
          <w:szCs w:val="22"/>
        </w:rPr>
        <w:t xml:space="preserve">, and participation through its ITIC Caribbean Office, in the November 5, 2024 </w:t>
      </w:r>
      <w:r w:rsidR="00EF701E">
        <w:rPr>
          <w:rFonts w:ascii="Arial" w:eastAsia="Arial" w:hAnsi="Arial" w:cs="Arial"/>
          <w:sz w:val="22"/>
          <w:szCs w:val="22"/>
        </w:rPr>
        <w:t xml:space="preserve">UN Headquarters </w:t>
      </w:r>
      <w:r w:rsidR="00EF701E">
        <w:rPr>
          <w:rFonts w:ascii="Arial" w:eastAsia="Arial" w:hAnsi="Arial" w:cs="Arial"/>
          <w:sz w:val="22"/>
          <w:szCs w:val="22"/>
        </w:rPr>
        <w:t>(</w:t>
      </w:r>
      <w:r w:rsidR="00EF701E">
        <w:rPr>
          <w:rFonts w:ascii="Arial" w:eastAsia="Arial" w:hAnsi="Arial" w:cs="Arial"/>
          <w:sz w:val="22"/>
          <w:szCs w:val="22"/>
        </w:rPr>
        <w:t>New York City</w:t>
      </w:r>
      <w:r w:rsidR="00EF701E">
        <w:rPr>
          <w:rFonts w:ascii="Arial" w:eastAsia="Arial" w:hAnsi="Arial" w:cs="Arial"/>
          <w:sz w:val="22"/>
          <w:szCs w:val="22"/>
        </w:rPr>
        <w:t xml:space="preserve">) Panel </w:t>
      </w:r>
      <w:r w:rsidR="00EF701E" w:rsidRPr="00EF701E">
        <w:rPr>
          <w:rFonts w:ascii="Arial" w:eastAsia="Arial" w:hAnsi="Arial" w:cs="Arial"/>
          <w:sz w:val="22"/>
          <w:szCs w:val="22"/>
        </w:rPr>
        <w:t>"Building Future Resilience: Youth Empowerment and Education in Tsunami Preparedness"</w:t>
      </w:r>
      <w:r w:rsidR="00EF701E">
        <w:rPr>
          <w:rFonts w:ascii="Arial" w:eastAsia="Arial" w:hAnsi="Arial" w:cs="Arial"/>
          <w:sz w:val="22"/>
          <w:szCs w:val="22"/>
        </w:rPr>
        <w:t xml:space="preserve"> by sharing on </w:t>
      </w:r>
      <w:r w:rsidR="00EF701E" w:rsidRPr="00EF701E">
        <w:rPr>
          <w:rFonts w:ascii="Arial" w:eastAsia="Arial" w:hAnsi="Arial" w:cs="Arial"/>
          <w:sz w:val="22"/>
          <w:szCs w:val="22"/>
        </w:rPr>
        <w:t>engaging the blind community in the Caribbean on tsunami awareness</w:t>
      </w:r>
      <w:r w:rsidR="00EF701E">
        <w:rPr>
          <w:rFonts w:ascii="Arial" w:eastAsia="Arial" w:hAnsi="Arial" w:cs="Arial"/>
          <w:sz w:val="22"/>
          <w:szCs w:val="22"/>
        </w:rPr>
        <w:t xml:space="preserve">.  Information on the 2004 commemorative activities (including the above) can be found in the US </w:t>
      </w:r>
      <w:proofErr w:type="spellStart"/>
      <w:r w:rsidR="00EF701E">
        <w:rPr>
          <w:rFonts w:ascii="Arial" w:eastAsia="Arial" w:hAnsi="Arial" w:cs="Arial"/>
          <w:sz w:val="22"/>
          <w:szCs w:val="22"/>
        </w:rPr>
        <w:t>TsuInfo</w:t>
      </w:r>
      <w:proofErr w:type="spellEnd"/>
      <w:r w:rsidR="00EF701E">
        <w:rPr>
          <w:rFonts w:ascii="Arial" w:eastAsia="Arial" w:hAnsi="Arial" w:cs="Arial"/>
          <w:sz w:val="22"/>
          <w:szCs w:val="22"/>
        </w:rPr>
        <w:t xml:space="preserve"> newsletter (</w:t>
      </w:r>
      <w:hyperlink r:id="rId9" w:history="1">
        <w:r w:rsidR="00EF701E" w:rsidRPr="00EF701E">
          <w:rPr>
            <w:rStyle w:val="Hyperlink"/>
            <w:rFonts w:ascii="Arial" w:eastAsia="Arial" w:hAnsi="Arial" w:cs="Arial"/>
            <w:sz w:val="22"/>
            <w:szCs w:val="22"/>
          </w:rPr>
          <w:t>Dec 2024</w:t>
        </w:r>
      </w:hyperlink>
      <w:r w:rsidR="00EF701E">
        <w:rPr>
          <w:rFonts w:ascii="Arial" w:eastAsia="Arial" w:hAnsi="Arial" w:cs="Arial"/>
          <w:sz w:val="22"/>
          <w:szCs w:val="22"/>
        </w:rPr>
        <w:t>)</w:t>
      </w:r>
    </w:p>
    <w:p w:rsidR="00111F32" w:rsidRDefault="00000000" w:rsidP="00123AAE">
      <w:pPr>
        <w:spacing w:before="240" w:after="240" w:line="276" w:lineRule="auto"/>
        <w:rPr>
          <w:rFonts w:ascii="Arial" w:eastAsia="Arial" w:hAnsi="Arial" w:cs="Arial"/>
          <w:sz w:val="22"/>
          <w:szCs w:val="22"/>
        </w:rPr>
      </w:pPr>
      <w:r>
        <w:rPr>
          <w:rFonts w:ascii="Arial" w:eastAsia="Arial" w:hAnsi="Arial" w:cs="Arial"/>
          <w:sz w:val="22"/>
          <w:szCs w:val="22"/>
        </w:rPr>
        <w:t xml:space="preserve">UNDRR invited UNESCO to co-develop the WTAD 2025 theme, potentially related to Innovative Financing for DRR but not limited by it. Key WTAD activities include ongoing efforts under the #GetToHighGround initiative, aimed at connecting high level political support to real change making people safer. UNDRR has expressed its interest to bolster a connection between the Tsunami Ready </w:t>
      </w:r>
      <w:proofErr w:type="spellStart"/>
      <w:r>
        <w:rPr>
          <w:rFonts w:ascii="Arial" w:eastAsia="Arial" w:hAnsi="Arial" w:cs="Arial"/>
          <w:sz w:val="22"/>
          <w:szCs w:val="22"/>
        </w:rPr>
        <w:t>Programme</w:t>
      </w:r>
      <w:proofErr w:type="spellEnd"/>
      <w:r>
        <w:rPr>
          <w:rFonts w:ascii="Arial" w:eastAsia="Arial" w:hAnsi="Arial" w:cs="Arial"/>
          <w:sz w:val="22"/>
          <w:szCs w:val="22"/>
        </w:rPr>
        <w:t xml:space="preserve"> and #GetToHighGround Campaign. </w:t>
      </w:r>
    </w:p>
    <w:p w:rsidR="00111F32" w:rsidRDefault="00000000" w:rsidP="00123AAE">
      <w:pPr>
        <w:spacing w:before="240" w:after="240" w:line="276" w:lineRule="auto"/>
        <w:rPr>
          <w:rFonts w:ascii="Arial" w:eastAsia="Arial" w:hAnsi="Arial" w:cs="Arial"/>
          <w:sz w:val="22"/>
          <w:szCs w:val="22"/>
        </w:rPr>
      </w:pPr>
      <w:r>
        <w:rPr>
          <w:rFonts w:ascii="Arial" w:eastAsia="Arial" w:hAnsi="Arial" w:cs="Arial"/>
          <w:sz w:val="22"/>
          <w:szCs w:val="22"/>
        </w:rPr>
        <w:t>The TOWS TT DMP recommended to UNDRR that ‘</w:t>
      </w:r>
      <w:r>
        <w:rPr>
          <w:rFonts w:ascii="Arial" w:eastAsia="Arial" w:hAnsi="Arial" w:cs="Arial"/>
          <w:i/>
          <w:sz w:val="22"/>
          <w:szCs w:val="22"/>
        </w:rPr>
        <w:t xml:space="preserve">Tsunami Ready’ </w:t>
      </w:r>
      <w:r>
        <w:rPr>
          <w:rFonts w:ascii="Arial" w:eastAsia="Arial" w:hAnsi="Arial" w:cs="Arial"/>
          <w:sz w:val="22"/>
          <w:szCs w:val="22"/>
        </w:rPr>
        <w:t xml:space="preserve">becomes a permanent WTAD theme, similar to Safe Schools and others. </w:t>
      </w:r>
    </w:p>
    <w:p w:rsidR="00111F32" w:rsidRDefault="00000000" w:rsidP="00123AAE">
      <w:pPr>
        <w:spacing w:before="240" w:after="240" w:line="276" w:lineRule="auto"/>
        <w:rPr>
          <w:rFonts w:ascii="Arial" w:eastAsia="Arial" w:hAnsi="Arial" w:cs="Arial"/>
          <w:sz w:val="22"/>
          <w:szCs w:val="22"/>
        </w:rPr>
      </w:pPr>
      <w:r>
        <w:rPr>
          <w:rFonts w:ascii="Arial" w:eastAsia="Arial" w:hAnsi="Arial" w:cs="Arial"/>
          <w:b/>
          <w:sz w:val="22"/>
          <w:szCs w:val="22"/>
        </w:rPr>
        <w:t>Exercises – PacWave24</w:t>
      </w:r>
    </w:p>
    <w:p w:rsidR="00111F32" w:rsidRDefault="00000000" w:rsidP="00123AAE">
      <w:pPr>
        <w:spacing w:before="240" w:after="240" w:line="276" w:lineRule="auto"/>
        <w:rPr>
          <w:rFonts w:ascii="Arial" w:eastAsia="Arial" w:hAnsi="Arial" w:cs="Arial"/>
          <w:sz w:val="22"/>
          <w:szCs w:val="22"/>
        </w:rPr>
      </w:pPr>
      <w:r>
        <w:rPr>
          <w:rFonts w:ascii="Arial" w:eastAsia="Arial" w:hAnsi="Arial" w:cs="Arial"/>
          <w:sz w:val="22"/>
          <w:szCs w:val="22"/>
        </w:rPr>
        <w:t xml:space="preserve">The PTWS Task Team on PacWave24 will report on the outcomes and will also propose Terms of Reference for PacWave26 (ICG/PTWS XXXI agenda item 4.9), however Working Group Three would like to note the importance of </w:t>
      </w:r>
      <w:proofErr w:type="spellStart"/>
      <w:r>
        <w:rPr>
          <w:rFonts w:ascii="Arial" w:eastAsia="Arial" w:hAnsi="Arial" w:cs="Arial"/>
          <w:sz w:val="22"/>
          <w:szCs w:val="22"/>
        </w:rPr>
        <w:t>PacWave</w:t>
      </w:r>
      <w:proofErr w:type="spellEnd"/>
      <w:r>
        <w:rPr>
          <w:rFonts w:ascii="Arial" w:eastAsia="Arial" w:hAnsi="Arial" w:cs="Arial"/>
          <w:sz w:val="22"/>
          <w:szCs w:val="22"/>
        </w:rPr>
        <w:t xml:space="preserve"> for disaster management and preparedness, and in particular the ongoing </w:t>
      </w:r>
      <w:r w:rsidR="005B7F25" w:rsidRPr="005B7F25">
        <w:rPr>
          <w:rFonts w:ascii="Arial" w:eastAsia="Arial" w:hAnsi="Arial" w:cs="Arial"/>
          <w:sz w:val="22"/>
          <w:szCs w:val="22"/>
          <w:lang w:val="en-NZ"/>
        </w:rPr>
        <w:t>importance to involve NDMOs responsible for emergency response</w:t>
      </w:r>
      <w:r>
        <w:rPr>
          <w:rFonts w:ascii="Arial" w:eastAsia="Arial" w:hAnsi="Arial" w:cs="Arial"/>
          <w:sz w:val="22"/>
          <w:szCs w:val="22"/>
        </w:rPr>
        <w:t>.</w:t>
      </w:r>
      <w:r w:rsidR="00EA43B5">
        <w:rPr>
          <w:rFonts w:ascii="Arial" w:eastAsia="Arial" w:hAnsi="Arial" w:cs="Arial"/>
          <w:sz w:val="22"/>
          <w:szCs w:val="22"/>
        </w:rPr>
        <w:t xml:space="preserve"> </w:t>
      </w:r>
      <w:r w:rsidR="006E7F63">
        <w:rPr>
          <w:rFonts w:ascii="Arial" w:eastAsia="Arial" w:hAnsi="Arial" w:cs="Arial"/>
          <w:sz w:val="22"/>
          <w:szCs w:val="22"/>
        </w:rPr>
        <w:t xml:space="preserve"> Once international alerts from the TSPs are received, and national tsunami warning </w:t>
      </w:r>
      <w:proofErr w:type="spellStart"/>
      <w:r w:rsidR="006E7F63">
        <w:rPr>
          <w:rFonts w:ascii="Arial" w:eastAsia="Arial" w:hAnsi="Arial" w:cs="Arial"/>
          <w:sz w:val="22"/>
          <w:szCs w:val="22"/>
        </w:rPr>
        <w:t>centres</w:t>
      </w:r>
      <w:proofErr w:type="spellEnd"/>
      <w:r w:rsidR="006E7F63">
        <w:rPr>
          <w:rFonts w:ascii="Arial" w:eastAsia="Arial" w:hAnsi="Arial" w:cs="Arial"/>
          <w:sz w:val="22"/>
          <w:szCs w:val="22"/>
        </w:rPr>
        <w:t xml:space="preserve"> issue national tsunami warnings, then the national disaster management offices take action to alert tsunami vulnerable coastlines and communities to evacuate.   Since tsunami</w:t>
      </w:r>
      <w:r w:rsidR="005B7F25">
        <w:rPr>
          <w:rFonts w:ascii="Arial" w:eastAsia="Arial" w:hAnsi="Arial" w:cs="Arial"/>
          <w:sz w:val="22"/>
          <w:szCs w:val="22"/>
        </w:rPr>
        <w:t>s</w:t>
      </w:r>
      <w:r w:rsidR="006E7F63">
        <w:rPr>
          <w:rFonts w:ascii="Arial" w:eastAsia="Arial" w:hAnsi="Arial" w:cs="Arial"/>
          <w:sz w:val="22"/>
          <w:szCs w:val="22"/>
        </w:rPr>
        <w:t xml:space="preserve"> do not happen regularly or often, it is essential that there is preparedness beforehand, such as through tsunami exercises of plans and procedures, and evacuation actions by NDMOs to communities.  </w:t>
      </w:r>
    </w:p>
    <w:tbl>
      <w:tblPr>
        <w:tblStyle w:val="a1"/>
        <w:tblW w:w="9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0"/>
      </w:tblGrid>
      <w:tr w:rsidR="00111F32">
        <w:tc>
          <w:tcPr>
            <w:tcW w:w="9020" w:type="dxa"/>
            <w:shd w:val="clear" w:color="auto" w:fill="auto"/>
            <w:tcMar>
              <w:top w:w="100" w:type="dxa"/>
              <w:left w:w="100" w:type="dxa"/>
              <w:bottom w:w="100" w:type="dxa"/>
              <w:right w:w="100" w:type="dxa"/>
            </w:tcMar>
          </w:tcPr>
          <w:p w:rsidR="00111F32" w:rsidRPr="000A4DF9" w:rsidRDefault="00000000" w:rsidP="000A4DF9">
            <w:pPr>
              <w:pBdr>
                <w:top w:val="nil"/>
                <w:left w:val="nil"/>
                <w:bottom w:val="nil"/>
                <w:right w:val="nil"/>
                <w:between w:val="nil"/>
              </w:pBdr>
              <w:spacing w:before="120" w:after="120" w:line="278" w:lineRule="auto"/>
              <w:ind w:right="14"/>
              <w:rPr>
                <w:rFonts w:ascii="Arial" w:eastAsia="Arial" w:hAnsi="Arial" w:cs="Arial"/>
                <w:b/>
                <w:bCs/>
                <w:sz w:val="22"/>
                <w:szCs w:val="22"/>
              </w:rPr>
            </w:pPr>
            <w:r w:rsidRPr="000A4DF9">
              <w:rPr>
                <w:rFonts w:ascii="Arial" w:eastAsia="Arial" w:hAnsi="Arial" w:cs="Arial"/>
                <w:b/>
                <w:bCs/>
                <w:sz w:val="22"/>
                <w:szCs w:val="22"/>
              </w:rPr>
              <w:t xml:space="preserve">Working Group 3 </w:t>
            </w:r>
            <w:r w:rsidR="00DE48D7">
              <w:rPr>
                <w:rFonts w:ascii="Arial" w:eastAsia="Arial" w:hAnsi="Arial" w:cs="Arial"/>
                <w:b/>
                <w:bCs/>
                <w:sz w:val="22"/>
                <w:szCs w:val="22"/>
              </w:rPr>
              <w:t>recommendation to</w:t>
            </w:r>
            <w:r w:rsidRPr="000A4DF9">
              <w:rPr>
                <w:rFonts w:ascii="Arial" w:eastAsia="Arial" w:hAnsi="Arial" w:cs="Arial"/>
                <w:b/>
                <w:bCs/>
                <w:sz w:val="22"/>
                <w:szCs w:val="22"/>
              </w:rPr>
              <w:t xml:space="preserve"> the ICG/PTWS:</w:t>
            </w:r>
          </w:p>
          <w:p w:rsidR="00111F32" w:rsidRDefault="00000000" w:rsidP="000A4DF9">
            <w:pPr>
              <w:spacing w:before="120" w:after="120" w:line="278" w:lineRule="auto"/>
              <w:ind w:right="14"/>
              <w:rPr>
                <w:rFonts w:ascii="Arial" w:eastAsia="Arial" w:hAnsi="Arial" w:cs="Arial"/>
                <w:sz w:val="22"/>
                <w:szCs w:val="22"/>
              </w:rPr>
            </w:pPr>
            <w:r w:rsidRPr="000A4DF9">
              <w:rPr>
                <w:rFonts w:ascii="Arial" w:eastAsia="Arial" w:hAnsi="Arial" w:cs="Arial"/>
                <w:b/>
                <w:bCs/>
                <w:sz w:val="22"/>
                <w:szCs w:val="22"/>
              </w:rPr>
              <w:t xml:space="preserve">Notes </w:t>
            </w:r>
            <w:r w:rsidRPr="000A4DF9">
              <w:rPr>
                <w:rFonts w:ascii="Arial" w:eastAsia="Arial" w:hAnsi="Arial" w:cs="Arial"/>
                <w:sz w:val="22"/>
                <w:szCs w:val="22"/>
              </w:rPr>
              <w:t xml:space="preserve">the importance of </w:t>
            </w:r>
            <w:proofErr w:type="spellStart"/>
            <w:r w:rsidRPr="000A4DF9">
              <w:rPr>
                <w:rFonts w:ascii="Arial" w:eastAsia="Arial" w:hAnsi="Arial" w:cs="Arial"/>
                <w:sz w:val="22"/>
                <w:szCs w:val="22"/>
              </w:rPr>
              <w:t>PacWave</w:t>
            </w:r>
            <w:proofErr w:type="spellEnd"/>
            <w:r w:rsidRPr="000A4DF9">
              <w:rPr>
                <w:rFonts w:ascii="Arial" w:eastAsia="Arial" w:hAnsi="Arial" w:cs="Arial"/>
                <w:sz w:val="22"/>
                <w:szCs w:val="22"/>
              </w:rPr>
              <w:t xml:space="preserve"> exercises with regard toward improving disaster management and preparedness, and in particular the ongoing effort to involve NDMOs</w:t>
            </w:r>
            <w:r w:rsidR="006E7F63">
              <w:rPr>
                <w:rFonts w:ascii="Arial" w:eastAsia="Arial" w:hAnsi="Arial" w:cs="Arial"/>
                <w:sz w:val="22"/>
                <w:szCs w:val="22"/>
              </w:rPr>
              <w:t xml:space="preserve"> to prepare and respond</w:t>
            </w:r>
            <w:r w:rsidRPr="000A4DF9">
              <w:rPr>
                <w:rFonts w:ascii="Arial" w:eastAsia="Arial" w:hAnsi="Arial" w:cs="Arial"/>
                <w:sz w:val="22"/>
                <w:szCs w:val="22"/>
              </w:rPr>
              <w:t>.</w:t>
            </w:r>
            <w:r>
              <w:rPr>
                <w:rFonts w:ascii="Arial" w:eastAsia="Arial" w:hAnsi="Arial" w:cs="Arial"/>
                <w:sz w:val="22"/>
                <w:szCs w:val="22"/>
              </w:rPr>
              <w:t xml:space="preserve">  </w:t>
            </w:r>
          </w:p>
        </w:tc>
      </w:tr>
    </w:tbl>
    <w:p w:rsidR="00111F32" w:rsidRDefault="00000000">
      <w:pPr>
        <w:spacing w:before="240" w:after="240" w:line="276" w:lineRule="auto"/>
        <w:jc w:val="both"/>
        <w:rPr>
          <w:rFonts w:ascii="Arial" w:eastAsia="Arial" w:hAnsi="Arial" w:cs="Arial"/>
          <w:b/>
          <w:sz w:val="22"/>
          <w:szCs w:val="22"/>
        </w:rPr>
      </w:pPr>
      <w:r>
        <w:rPr>
          <w:rFonts w:ascii="Arial" w:eastAsia="Arial" w:hAnsi="Arial" w:cs="Arial"/>
          <w:b/>
          <w:sz w:val="22"/>
          <w:szCs w:val="22"/>
        </w:rPr>
        <w:t>Awareness Products</w:t>
      </w:r>
    </w:p>
    <w:p w:rsidR="00111F32" w:rsidRDefault="00000000" w:rsidP="00123AAE">
      <w:pPr>
        <w:spacing w:before="240" w:after="240" w:line="276" w:lineRule="auto"/>
        <w:rPr>
          <w:rFonts w:ascii="Arial" w:eastAsia="Arial" w:hAnsi="Arial" w:cs="Arial"/>
          <w:sz w:val="22"/>
          <w:szCs w:val="22"/>
        </w:rPr>
      </w:pPr>
      <w:r>
        <w:rPr>
          <w:rFonts w:ascii="Arial" w:eastAsia="Arial" w:hAnsi="Arial" w:cs="Arial"/>
          <w:sz w:val="22"/>
          <w:szCs w:val="22"/>
        </w:rPr>
        <w:t>The ITIC continued to update its global and regional awareness products, and to create new ones, many in collaboration with the WDS / NOAA NCEI</w:t>
      </w:r>
      <w:r w:rsidR="006E7F63">
        <w:rPr>
          <w:rFonts w:ascii="Arial" w:eastAsia="Arial" w:hAnsi="Arial" w:cs="Arial"/>
          <w:sz w:val="22"/>
          <w:szCs w:val="22"/>
        </w:rPr>
        <w:t xml:space="preserve">. </w:t>
      </w:r>
      <w:r>
        <w:rPr>
          <w:rFonts w:ascii="Arial" w:eastAsia="Arial" w:hAnsi="Arial" w:cs="Arial"/>
          <w:sz w:val="22"/>
          <w:szCs w:val="22"/>
        </w:rPr>
        <w:t>These will be reported in detail in the ITIC Report (ICG/PTWS XXXI agenda item 3.6)</w:t>
      </w:r>
      <w:r w:rsidR="006E7F63">
        <w:rPr>
          <w:rFonts w:ascii="Arial" w:eastAsia="Arial" w:hAnsi="Arial" w:cs="Arial"/>
          <w:sz w:val="22"/>
          <w:szCs w:val="22"/>
        </w:rPr>
        <w:t xml:space="preserve"> and WDS/NOAA NCEI Report (</w:t>
      </w:r>
      <w:r w:rsidR="006E7F63">
        <w:rPr>
          <w:rFonts w:ascii="Arial" w:eastAsia="Arial" w:hAnsi="Arial" w:cs="Arial"/>
          <w:sz w:val="22"/>
          <w:szCs w:val="22"/>
        </w:rPr>
        <w:t>ICG/PTWS XXXI agenda item 3.</w:t>
      </w:r>
      <w:r w:rsidR="006E7F63">
        <w:rPr>
          <w:rFonts w:ascii="Arial" w:eastAsia="Arial" w:hAnsi="Arial" w:cs="Arial"/>
          <w:sz w:val="22"/>
          <w:szCs w:val="22"/>
        </w:rPr>
        <w:t>10</w:t>
      </w:r>
      <w:r w:rsidR="006E7F63">
        <w:rPr>
          <w:rFonts w:ascii="Arial" w:eastAsia="Arial" w:hAnsi="Arial" w:cs="Arial"/>
          <w:sz w:val="22"/>
          <w:szCs w:val="22"/>
        </w:rPr>
        <w:t>)</w:t>
      </w:r>
      <w:r>
        <w:rPr>
          <w:rFonts w:ascii="Arial" w:eastAsia="Arial" w:hAnsi="Arial" w:cs="Arial"/>
          <w:sz w:val="22"/>
          <w:szCs w:val="22"/>
        </w:rPr>
        <w:t>. </w:t>
      </w:r>
    </w:p>
    <w:p w:rsidR="006E7F63" w:rsidRDefault="006E7F63" w:rsidP="00123AAE">
      <w:pPr>
        <w:spacing w:before="240" w:after="240" w:line="276" w:lineRule="auto"/>
        <w:rPr>
          <w:rFonts w:ascii="Arial" w:eastAsia="Arial" w:hAnsi="Arial" w:cs="Arial"/>
          <w:sz w:val="22"/>
          <w:szCs w:val="22"/>
        </w:rPr>
      </w:pPr>
      <w:r>
        <w:rPr>
          <w:rFonts w:ascii="Arial" w:eastAsia="Arial" w:hAnsi="Arial" w:cs="Arial"/>
          <w:sz w:val="22"/>
          <w:szCs w:val="22"/>
        </w:rPr>
        <w:lastRenderedPageBreak/>
        <w:t>The ITIC also works with the IOC to update standard tsunami awareness products, including the Tsunami Glossary (from 2019 to 2025, TS 85 rev)</w:t>
      </w:r>
    </w:p>
    <w:p w:rsidR="00A21005" w:rsidRDefault="00A21005" w:rsidP="00A21005">
      <w:pPr>
        <w:spacing w:before="240" w:after="240" w:line="276" w:lineRule="auto"/>
        <w:jc w:val="both"/>
        <w:rPr>
          <w:rFonts w:ascii="Arial" w:eastAsia="Arial" w:hAnsi="Arial" w:cs="Arial"/>
          <w:b/>
          <w:sz w:val="22"/>
          <w:szCs w:val="22"/>
        </w:rPr>
      </w:pPr>
      <w:r>
        <w:rPr>
          <w:rFonts w:ascii="Arial" w:eastAsia="Arial" w:hAnsi="Arial" w:cs="Arial"/>
          <w:b/>
          <w:sz w:val="22"/>
          <w:szCs w:val="22"/>
        </w:rPr>
        <w:t>Mechanisms for Tsunami Ready participation</w:t>
      </w:r>
    </w:p>
    <w:p w:rsidR="00A21005" w:rsidRDefault="00A21005" w:rsidP="00123AAE">
      <w:pPr>
        <w:spacing w:before="240" w:after="240" w:line="276" w:lineRule="auto"/>
        <w:rPr>
          <w:rFonts w:ascii="Arial" w:eastAsia="Arial" w:hAnsi="Arial" w:cs="Arial"/>
          <w:sz w:val="22"/>
          <w:szCs w:val="22"/>
        </w:rPr>
      </w:pPr>
      <w:r>
        <w:rPr>
          <w:rFonts w:ascii="Arial" w:eastAsia="Arial" w:hAnsi="Arial" w:cs="Arial"/>
          <w:sz w:val="22"/>
          <w:szCs w:val="22"/>
        </w:rPr>
        <w:t xml:space="preserve">Refer to the Report of the WG3 Task Team Tsunami Ready (ICG/PTWS-XXXI agenda item 4.2) for reporting on the progress of implementation of the Tsunami Ready Recognition </w:t>
      </w:r>
      <w:proofErr w:type="spellStart"/>
      <w:r>
        <w:rPr>
          <w:rFonts w:ascii="Arial" w:eastAsia="Arial" w:hAnsi="Arial" w:cs="Arial"/>
          <w:sz w:val="22"/>
          <w:szCs w:val="22"/>
        </w:rPr>
        <w:t>Programme</w:t>
      </w:r>
      <w:proofErr w:type="spellEnd"/>
      <w:r>
        <w:rPr>
          <w:rFonts w:ascii="Arial" w:eastAsia="Arial" w:hAnsi="Arial" w:cs="Arial"/>
          <w:sz w:val="22"/>
          <w:szCs w:val="22"/>
        </w:rPr>
        <w:t xml:space="preserve"> and the Equivalency Approach. </w:t>
      </w:r>
    </w:p>
    <w:p w:rsidR="00A21005" w:rsidRPr="00A21005" w:rsidRDefault="00A21005" w:rsidP="00123AAE">
      <w:pPr>
        <w:spacing w:before="240" w:after="240" w:line="276" w:lineRule="auto"/>
        <w:rPr>
          <w:rFonts w:ascii="Arial" w:eastAsia="Arial" w:hAnsi="Arial" w:cs="Arial"/>
          <w:sz w:val="2"/>
          <w:szCs w:val="2"/>
        </w:rPr>
      </w:pPr>
    </w:p>
    <w:p w:rsidR="00111F32" w:rsidRPr="004D0DA1" w:rsidRDefault="00000000">
      <w:pPr>
        <w:spacing w:before="240" w:after="240" w:line="276" w:lineRule="auto"/>
        <w:ind w:left="360" w:hanging="360"/>
        <w:jc w:val="both"/>
        <w:rPr>
          <w:rFonts w:ascii="Arial" w:eastAsia="Arial" w:hAnsi="Arial" w:cs="Arial"/>
          <w:b/>
          <w:bCs/>
          <w:sz w:val="22"/>
          <w:szCs w:val="22"/>
          <w:u w:val="single"/>
        </w:rPr>
      </w:pPr>
      <w:r w:rsidRPr="004D0DA1">
        <w:rPr>
          <w:rFonts w:ascii="Arial" w:eastAsia="Arial" w:hAnsi="Arial" w:cs="Arial"/>
          <w:b/>
          <w:bCs/>
          <w:sz w:val="22"/>
          <w:szCs w:val="22"/>
          <w:u w:val="single"/>
        </w:rPr>
        <w:t>3.</w:t>
      </w:r>
      <w:r w:rsidRPr="00DC549D">
        <w:rPr>
          <w:rFonts w:ascii="Arial" w:eastAsia="Arial" w:hAnsi="Arial" w:cs="Arial"/>
          <w:b/>
          <w:bCs/>
          <w:sz w:val="22"/>
          <w:szCs w:val="22"/>
        </w:rPr>
        <w:tab/>
      </w:r>
      <w:r w:rsidRPr="004D0DA1">
        <w:rPr>
          <w:rFonts w:ascii="Arial" w:eastAsia="Arial" w:hAnsi="Arial" w:cs="Arial"/>
          <w:b/>
          <w:bCs/>
          <w:sz w:val="22"/>
          <w:szCs w:val="22"/>
          <w:u w:val="single"/>
        </w:rPr>
        <w:t>Facilitate SOP training across regions to strengthen emergency response capabilities of Member States and their Disaster Management Offices</w:t>
      </w:r>
    </w:p>
    <w:p w:rsidR="00111F32" w:rsidRDefault="00000000" w:rsidP="00B627B2">
      <w:pPr>
        <w:spacing w:before="240" w:after="240" w:line="276" w:lineRule="auto"/>
        <w:rPr>
          <w:rFonts w:ascii="Arial" w:eastAsia="Arial" w:hAnsi="Arial" w:cs="Arial"/>
          <w:sz w:val="22"/>
          <w:szCs w:val="22"/>
        </w:rPr>
      </w:pPr>
      <w:r>
        <w:rPr>
          <w:rFonts w:ascii="Arial" w:eastAsia="Arial" w:hAnsi="Arial" w:cs="Arial"/>
          <w:sz w:val="22"/>
          <w:szCs w:val="22"/>
        </w:rPr>
        <w:t xml:space="preserve">Much of the PTWS effort regarding SOP training is led and facilitated by the ITIC. </w:t>
      </w:r>
      <w:r w:rsidR="00DE47E3">
        <w:rPr>
          <w:rFonts w:ascii="Arial" w:eastAsia="Arial" w:hAnsi="Arial" w:cs="Arial"/>
          <w:sz w:val="22"/>
          <w:szCs w:val="22"/>
        </w:rPr>
        <w:t xml:space="preserve"> Online training has been made available via the IOC </w:t>
      </w:r>
      <w:proofErr w:type="spellStart"/>
      <w:r w:rsidR="00DE47E3">
        <w:rPr>
          <w:rFonts w:ascii="Arial" w:eastAsia="Arial" w:hAnsi="Arial" w:cs="Arial"/>
          <w:sz w:val="22"/>
          <w:szCs w:val="22"/>
        </w:rPr>
        <w:t>OceanTeacher</w:t>
      </w:r>
      <w:proofErr w:type="spellEnd"/>
      <w:r w:rsidR="00DE47E3">
        <w:rPr>
          <w:rFonts w:ascii="Arial" w:eastAsia="Arial" w:hAnsi="Arial" w:cs="Arial"/>
          <w:sz w:val="22"/>
          <w:szCs w:val="22"/>
        </w:rPr>
        <w:t xml:space="preserve"> Global Academy </w:t>
      </w:r>
      <w:r w:rsidR="00A21005">
        <w:rPr>
          <w:rFonts w:ascii="Arial" w:eastAsia="Arial" w:hAnsi="Arial" w:cs="Arial"/>
          <w:sz w:val="22"/>
          <w:szCs w:val="22"/>
        </w:rPr>
        <w:t xml:space="preserve">(OTGA) </w:t>
      </w:r>
      <w:r w:rsidR="00DE47E3">
        <w:rPr>
          <w:rFonts w:ascii="Arial" w:eastAsia="Arial" w:hAnsi="Arial" w:cs="Arial"/>
          <w:sz w:val="22"/>
          <w:szCs w:val="22"/>
        </w:rPr>
        <w:t>as UNESCO-IOC Tsunami Awareness (2024) and Tsunami Ready (2025) self-paced courses.</w:t>
      </w:r>
      <w:r w:rsidR="00F25645">
        <w:rPr>
          <w:rFonts w:ascii="Arial" w:eastAsia="Arial" w:hAnsi="Arial" w:cs="Arial"/>
          <w:sz w:val="22"/>
          <w:szCs w:val="22"/>
        </w:rPr>
        <w:t xml:space="preserve"> </w:t>
      </w:r>
      <w:r w:rsidR="00E40508">
        <w:rPr>
          <w:rFonts w:ascii="Arial" w:eastAsia="Arial" w:hAnsi="Arial" w:cs="Arial"/>
          <w:sz w:val="22"/>
          <w:szCs w:val="22"/>
        </w:rPr>
        <w:t xml:space="preserve">OTAG Tsunami Warning Center Minimum Staff Level Competency Training, which </w:t>
      </w:r>
      <w:proofErr w:type="gramStart"/>
      <w:r w:rsidR="00E40508">
        <w:rPr>
          <w:rFonts w:ascii="Arial" w:eastAsia="Arial" w:hAnsi="Arial" w:cs="Arial"/>
          <w:sz w:val="22"/>
          <w:szCs w:val="22"/>
        </w:rPr>
        <w:t>will  is</w:t>
      </w:r>
      <w:proofErr w:type="gramEnd"/>
      <w:r w:rsidR="00E40508">
        <w:rPr>
          <w:rFonts w:ascii="Arial" w:eastAsia="Arial" w:hAnsi="Arial" w:cs="Arial"/>
          <w:sz w:val="22"/>
          <w:szCs w:val="22"/>
        </w:rPr>
        <w:t xml:space="preserve"> planned for 2026.</w:t>
      </w:r>
      <w:r w:rsidR="00F25645">
        <w:rPr>
          <w:rFonts w:ascii="Arial" w:eastAsia="Arial" w:hAnsi="Arial" w:cs="Arial"/>
          <w:sz w:val="22"/>
          <w:szCs w:val="22"/>
        </w:rPr>
        <w:t xml:space="preserve"> </w:t>
      </w:r>
      <w:r>
        <w:rPr>
          <w:rFonts w:ascii="Arial" w:eastAsia="Arial" w:hAnsi="Arial" w:cs="Arial"/>
          <w:sz w:val="22"/>
          <w:szCs w:val="22"/>
        </w:rPr>
        <w:t>Please refer to the ITIC report for full detail of ITIC efforts to support emergency response capabilities and tsunami training</w:t>
      </w:r>
      <w:r w:rsidR="00DE47E3">
        <w:rPr>
          <w:rFonts w:ascii="Arial" w:eastAsia="Arial" w:hAnsi="Arial" w:cs="Arial"/>
          <w:sz w:val="22"/>
          <w:szCs w:val="22"/>
        </w:rPr>
        <w:t xml:space="preserve"> under </w:t>
      </w:r>
      <w:r w:rsidR="00DE47E3">
        <w:rPr>
          <w:rFonts w:ascii="Arial" w:eastAsia="Arial" w:hAnsi="Arial" w:cs="Arial"/>
          <w:sz w:val="22"/>
          <w:szCs w:val="22"/>
        </w:rPr>
        <w:t>ICG/PTWS XXXI agenda item 3.6</w:t>
      </w:r>
      <w:r w:rsidR="00DE47E3">
        <w:rPr>
          <w:rFonts w:ascii="Arial" w:eastAsia="Arial" w:hAnsi="Arial" w:cs="Arial"/>
          <w:sz w:val="22"/>
          <w:szCs w:val="22"/>
        </w:rPr>
        <w:t>.</w:t>
      </w:r>
    </w:p>
    <w:tbl>
      <w:tblPr>
        <w:tblStyle w:val="a2"/>
        <w:tblW w:w="903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111F32">
        <w:tc>
          <w:tcPr>
            <w:tcW w:w="9030" w:type="dxa"/>
            <w:shd w:val="clear" w:color="auto" w:fill="auto"/>
            <w:tcMar>
              <w:top w:w="100" w:type="dxa"/>
              <w:left w:w="100" w:type="dxa"/>
              <w:bottom w:w="100" w:type="dxa"/>
              <w:right w:w="100" w:type="dxa"/>
            </w:tcMar>
          </w:tcPr>
          <w:p w:rsidR="00111F32" w:rsidRPr="000A4DF9" w:rsidRDefault="00000000" w:rsidP="000A4DF9">
            <w:pPr>
              <w:pBdr>
                <w:top w:val="nil"/>
                <w:left w:val="nil"/>
                <w:bottom w:val="nil"/>
                <w:right w:val="nil"/>
                <w:between w:val="nil"/>
              </w:pBdr>
              <w:spacing w:before="120" w:after="120" w:line="278" w:lineRule="auto"/>
              <w:ind w:right="14"/>
              <w:rPr>
                <w:rFonts w:ascii="Arial" w:eastAsia="Arial" w:hAnsi="Arial" w:cs="Arial"/>
                <w:b/>
                <w:bCs/>
                <w:sz w:val="22"/>
                <w:szCs w:val="22"/>
              </w:rPr>
            </w:pPr>
            <w:r w:rsidRPr="000A4DF9">
              <w:rPr>
                <w:rFonts w:ascii="Arial" w:eastAsia="Arial" w:hAnsi="Arial" w:cs="Arial"/>
                <w:b/>
                <w:bCs/>
                <w:sz w:val="22"/>
                <w:szCs w:val="22"/>
              </w:rPr>
              <w:t xml:space="preserve">Working Group 3 </w:t>
            </w:r>
            <w:r w:rsidR="00DE48D7">
              <w:rPr>
                <w:rFonts w:ascii="Arial" w:eastAsia="Arial" w:hAnsi="Arial" w:cs="Arial"/>
                <w:b/>
                <w:bCs/>
                <w:sz w:val="22"/>
                <w:szCs w:val="22"/>
              </w:rPr>
              <w:t>recommendation to</w:t>
            </w:r>
            <w:r w:rsidR="00DE48D7" w:rsidRPr="000A4DF9">
              <w:rPr>
                <w:rFonts w:ascii="Arial" w:eastAsia="Arial" w:hAnsi="Arial" w:cs="Arial"/>
                <w:b/>
                <w:bCs/>
                <w:sz w:val="22"/>
                <w:szCs w:val="22"/>
              </w:rPr>
              <w:t xml:space="preserve"> </w:t>
            </w:r>
            <w:r w:rsidRPr="000A4DF9">
              <w:rPr>
                <w:rFonts w:ascii="Arial" w:eastAsia="Arial" w:hAnsi="Arial" w:cs="Arial"/>
                <w:b/>
                <w:bCs/>
                <w:sz w:val="22"/>
                <w:szCs w:val="22"/>
              </w:rPr>
              <w:t>the ICG/PTWS:</w:t>
            </w:r>
          </w:p>
          <w:p w:rsidR="00111F32" w:rsidRDefault="00000000" w:rsidP="000A4DF9">
            <w:pPr>
              <w:spacing w:before="120" w:after="120" w:line="278" w:lineRule="auto"/>
              <w:ind w:right="14"/>
              <w:rPr>
                <w:rFonts w:ascii="Arial" w:eastAsia="Arial" w:hAnsi="Arial" w:cs="Arial"/>
                <w:sz w:val="22"/>
                <w:szCs w:val="22"/>
              </w:rPr>
            </w:pPr>
            <w:r w:rsidRPr="000A4DF9">
              <w:rPr>
                <w:rFonts w:ascii="Arial" w:eastAsia="Arial" w:hAnsi="Arial" w:cs="Arial"/>
                <w:b/>
                <w:bCs/>
                <w:sz w:val="22"/>
                <w:szCs w:val="22"/>
              </w:rPr>
              <w:t>Appreciates</w:t>
            </w:r>
            <w:r w:rsidR="00AE6518">
              <w:rPr>
                <w:rFonts w:ascii="Arial" w:eastAsia="Arial" w:hAnsi="Arial" w:cs="Arial"/>
                <w:b/>
                <w:bCs/>
                <w:sz w:val="22"/>
                <w:szCs w:val="22"/>
              </w:rPr>
              <w:t xml:space="preserve"> and thanks</w:t>
            </w:r>
            <w:r w:rsidRPr="000A4DF9">
              <w:rPr>
                <w:rFonts w:ascii="Arial" w:eastAsia="Arial" w:hAnsi="Arial" w:cs="Arial"/>
                <w:b/>
                <w:bCs/>
                <w:sz w:val="22"/>
                <w:szCs w:val="22"/>
              </w:rPr>
              <w:t xml:space="preserve"> </w:t>
            </w:r>
            <w:r w:rsidRPr="000A4DF9">
              <w:rPr>
                <w:rFonts w:ascii="Arial" w:eastAsia="Arial" w:hAnsi="Arial" w:cs="Arial"/>
                <w:sz w:val="22"/>
                <w:szCs w:val="22"/>
              </w:rPr>
              <w:t>the ongoing significant effort and leadership provided by the ITIC for tsunami preparedness in the Pacific, including through SOP</w:t>
            </w:r>
            <w:r w:rsidR="00DE47E3">
              <w:rPr>
                <w:rFonts w:ascii="Arial" w:eastAsia="Arial" w:hAnsi="Arial" w:cs="Arial"/>
                <w:sz w:val="22"/>
                <w:szCs w:val="22"/>
              </w:rPr>
              <w:t xml:space="preserve"> </w:t>
            </w:r>
            <w:r w:rsidRPr="000A4DF9">
              <w:rPr>
                <w:rFonts w:ascii="Arial" w:eastAsia="Arial" w:hAnsi="Arial" w:cs="Arial"/>
                <w:sz w:val="22"/>
                <w:szCs w:val="22"/>
              </w:rPr>
              <w:t xml:space="preserve">training, </w:t>
            </w:r>
            <w:r w:rsidR="00DE47E3">
              <w:rPr>
                <w:rFonts w:ascii="Arial" w:eastAsia="Arial" w:hAnsi="Arial" w:cs="Arial"/>
                <w:sz w:val="22"/>
                <w:szCs w:val="22"/>
              </w:rPr>
              <w:t xml:space="preserve">online training under the </w:t>
            </w:r>
            <w:proofErr w:type="spellStart"/>
            <w:r w:rsidR="00DE47E3">
              <w:rPr>
                <w:rFonts w:ascii="Arial" w:eastAsia="Arial" w:hAnsi="Arial" w:cs="Arial"/>
                <w:sz w:val="22"/>
                <w:szCs w:val="22"/>
              </w:rPr>
              <w:t>OceanTeacher</w:t>
            </w:r>
            <w:proofErr w:type="spellEnd"/>
            <w:r w:rsidR="00DE47E3">
              <w:rPr>
                <w:rFonts w:ascii="Arial" w:eastAsia="Arial" w:hAnsi="Arial" w:cs="Arial"/>
                <w:sz w:val="22"/>
                <w:szCs w:val="22"/>
              </w:rPr>
              <w:t xml:space="preserve"> Global Academy, </w:t>
            </w:r>
            <w:r w:rsidRPr="000A4DF9">
              <w:rPr>
                <w:rFonts w:ascii="Arial" w:eastAsia="Arial" w:hAnsi="Arial" w:cs="Arial"/>
                <w:sz w:val="22"/>
                <w:szCs w:val="22"/>
              </w:rPr>
              <w:t xml:space="preserve">and </w:t>
            </w:r>
            <w:r w:rsidR="00DE47E3">
              <w:rPr>
                <w:rFonts w:ascii="Arial" w:eastAsia="Arial" w:hAnsi="Arial" w:cs="Arial"/>
                <w:sz w:val="22"/>
                <w:szCs w:val="22"/>
              </w:rPr>
              <w:t xml:space="preserve">creation and distribution </w:t>
            </w:r>
            <w:r w:rsidRPr="000A4DF9">
              <w:rPr>
                <w:rFonts w:ascii="Arial" w:eastAsia="Arial" w:hAnsi="Arial" w:cs="Arial"/>
                <w:sz w:val="22"/>
                <w:szCs w:val="22"/>
              </w:rPr>
              <w:t>awareness products.</w:t>
            </w:r>
            <w:r>
              <w:rPr>
                <w:rFonts w:ascii="Arial" w:eastAsia="Arial" w:hAnsi="Arial" w:cs="Arial"/>
                <w:sz w:val="22"/>
                <w:szCs w:val="22"/>
              </w:rPr>
              <w:t xml:space="preserve"> </w:t>
            </w:r>
          </w:p>
        </w:tc>
      </w:tr>
    </w:tbl>
    <w:p w:rsidR="00F25645" w:rsidRPr="00F25645" w:rsidRDefault="00F25645" w:rsidP="004D0DA1">
      <w:pPr>
        <w:spacing w:before="240" w:after="240" w:line="276" w:lineRule="auto"/>
        <w:ind w:left="360" w:hanging="360"/>
        <w:jc w:val="both"/>
        <w:rPr>
          <w:rFonts w:ascii="Arial" w:eastAsia="Arial" w:hAnsi="Arial" w:cs="Arial"/>
          <w:b/>
          <w:sz w:val="8"/>
          <w:szCs w:val="8"/>
        </w:rPr>
      </w:pPr>
    </w:p>
    <w:p w:rsidR="00111F32" w:rsidRPr="004D0DA1" w:rsidRDefault="00000000" w:rsidP="004D0DA1">
      <w:pPr>
        <w:spacing w:before="240" w:after="240" w:line="276" w:lineRule="auto"/>
        <w:ind w:left="360" w:hanging="360"/>
        <w:jc w:val="both"/>
        <w:rPr>
          <w:rFonts w:ascii="Arial" w:eastAsia="Arial" w:hAnsi="Arial" w:cs="Arial"/>
          <w:b/>
          <w:bCs/>
          <w:sz w:val="22"/>
          <w:szCs w:val="22"/>
          <w:u w:val="single"/>
        </w:rPr>
      </w:pPr>
      <w:r w:rsidRPr="004D0DA1">
        <w:rPr>
          <w:rFonts w:ascii="Arial" w:eastAsia="Arial" w:hAnsi="Arial" w:cs="Arial"/>
          <w:b/>
          <w:bCs/>
          <w:sz w:val="22"/>
          <w:szCs w:val="22"/>
          <w:u w:val="single"/>
        </w:rPr>
        <w:t>4.</w:t>
      </w:r>
      <w:r w:rsidRPr="00DC549D">
        <w:rPr>
          <w:rFonts w:ascii="Arial" w:eastAsia="Arial" w:hAnsi="Arial" w:cs="Arial"/>
          <w:b/>
          <w:bCs/>
          <w:sz w:val="22"/>
          <w:szCs w:val="22"/>
        </w:rPr>
        <w:t xml:space="preserve"> </w:t>
      </w:r>
      <w:r w:rsidRPr="004D0DA1">
        <w:rPr>
          <w:rFonts w:ascii="Arial" w:eastAsia="Arial" w:hAnsi="Arial" w:cs="Arial"/>
          <w:b/>
          <w:bCs/>
          <w:sz w:val="22"/>
          <w:szCs w:val="22"/>
          <w:u w:val="single"/>
        </w:rPr>
        <w:t>Develop and promote best practice preparedness material, programs and assessment tools</w:t>
      </w:r>
    </w:p>
    <w:p w:rsidR="00111F32" w:rsidRDefault="00000000" w:rsidP="00123AAE">
      <w:pPr>
        <w:spacing w:before="240" w:after="240" w:line="301" w:lineRule="auto"/>
        <w:rPr>
          <w:rFonts w:ascii="Arial" w:eastAsia="Arial" w:hAnsi="Arial" w:cs="Arial"/>
          <w:sz w:val="22"/>
          <w:szCs w:val="22"/>
        </w:rPr>
      </w:pPr>
      <w:r>
        <w:rPr>
          <w:rFonts w:ascii="Arial" w:eastAsia="Arial" w:hAnsi="Arial" w:cs="Arial"/>
          <w:color w:val="111111"/>
          <w:sz w:val="22"/>
          <w:szCs w:val="22"/>
        </w:rPr>
        <w:t>The CNAT from Ecuador has created a video about the experiences of authorities and community members during the tsunamis of Chile in 2010, Japan in 2011, Tonga in 2022, and local experiences such as the earthquake of April 2016 off the coast of Pedernales. The goal was to create a file that could be disseminated for the knowledge and preparedness of Ecuador's coastal communities.</w:t>
      </w:r>
    </w:p>
    <w:p w:rsidR="00BC7EF0" w:rsidRDefault="00000000" w:rsidP="00826FC5">
      <w:pPr>
        <w:spacing w:before="240" w:after="240" w:line="276" w:lineRule="auto"/>
        <w:rPr>
          <w:rFonts w:ascii="Arial" w:eastAsia="Arial" w:hAnsi="Arial" w:cs="Arial"/>
          <w:sz w:val="22"/>
          <w:szCs w:val="22"/>
        </w:rPr>
      </w:pPr>
      <w:r>
        <w:rPr>
          <w:rFonts w:ascii="Arial" w:eastAsia="Arial" w:hAnsi="Arial" w:cs="Arial"/>
          <w:sz w:val="22"/>
          <w:szCs w:val="22"/>
        </w:rPr>
        <w:t>Much of the PTWS effort regarding best practice preparedness material is led and facilitated by the ITIC</w:t>
      </w:r>
      <w:r w:rsidR="00BC7EF0">
        <w:rPr>
          <w:rFonts w:ascii="Arial" w:eastAsia="Arial" w:hAnsi="Arial" w:cs="Arial"/>
          <w:sz w:val="22"/>
          <w:szCs w:val="22"/>
        </w:rPr>
        <w:t xml:space="preserve">, as part of </w:t>
      </w:r>
      <w:r w:rsidR="00BC7EF0" w:rsidRPr="00BC7EF0">
        <w:rPr>
          <w:rFonts w:ascii="Arial" w:eastAsia="Arial" w:hAnsi="Arial" w:cs="Arial"/>
          <w:sz w:val="22"/>
          <w:szCs w:val="22"/>
        </w:rPr>
        <w:t xml:space="preserve">ITIC's Terms of Reference for </w:t>
      </w:r>
      <w:r w:rsidR="00BC7EF0" w:rsidRPr="00BC7EF0">
        <w:rPr>
          <w:rFonts w:ascii="Arial" w:eastAsia="Arial" w:hAnsi="Arial" w:cs="Arial"/>
          <w:i/>
          <w:iCs/>
          <w:sz w:val="22"/>
          <w:szCs w:val="22"/>
        </w:rPr>
        <w:t>'assisting Member States in the establishment of national warning systems and improving preparedness for tsunamis</w:t>
      </w:r>
      <w:proofErr w:type="gramStart"/>
      <w:r w:rsidR="00BC7EF0" w:rsidRPr="00BC7EF0">
        <w:rPr>
          <w:rFonts w:ascii="Arial" w:eastAsia="Arial" w:hAnsi="Arial" w:cs="Arial"/>
          <w:i/>
          <w:iCs/>
          <w:sz w:val="22"/>
          <w:szCs w:val="22"/>
        </w:rPr>
        <w:t xml:space="preserve"> ..</w:t>
      </w:r>
      <w:proofErr w:type="gramEnd"/>
      <w:r w:rsidR="00BC7EF0" w:rsidRPr="00BC7EF0">
        <w:rPr>
          <w:rFonts w:ascii="Arial" w:eastAsia="Arial" w:hAnsi="Arial" w:cs="Arial"/>
          <w:i/>
          <w:iCs/>
          <w:sz w:val="22"/>
          <w:szCs w:val="22"/>
        </w:rPr>
        <w:t xml:space="preserve"> </w:t>
      </w:r>
      <w:r w:rsidR="00BC7EF0">
        <w:rPr>
          <w:rFonts w:ascii="Arial" w:eastAsia="Arial" w:hAnsi="Arial" w:cs="Arial"/>
          <w:i/>
          <w:iCs/>
          <w:sz w:val="22"/>
          <w:szCs w:val="22"/>
        </w:rPr>
        <w:t>[</w:t>
      </w:r>
      <w:r w:rsidR="00BC7EF0" w:rsidRPr="00BC7EF0">
        <w:rPr>
          <w:rFonts w:ascii="Arial" w:eastAsia="Arial" w:hAnsi="Arial" w:cs="Arial"/>
          <w:i/>
          <w:iCs/>
          <w:sz w:val="22"/>
          <w:szCs w:val="22"/>
        </w:rPr>
        <w:t>and</w:t>
      </w:r>
      <w:r w:rsidR="00BC7EF0">
        <w:rPr>
          <w:rFonts w:ascii="Arial" w:eastAsia="Arial" w:hAnsi="Arial" w:cs="Arial"/>
          <w:i/>
          <w:iCs/>
          <w:sz w:val="22"/>
          <w:szCs w:val="22"/>
        </w:rPr>
        <w:t xml:space="preserve">] </w:t>
      </w:r>
      <w:r w:rsidR="00BC7EF0" w:rsidRPr="00BC7EF0">
        <w:rPr>
          <w:rFonts w:ascii="Arial" w:eastAsia="Arial" w:hAnsi="Arial" w:cs="Arial"/>
          <w:i/>
          <w:iCs/>
          <w:sz w:val="22"/>
          <w:szCs w:val="22"/>
        </w:rPr>
        <w:t>gathering and promulgating knowledge on tsunamis and fostering tsunami research and its application so as to prevent loss of life and damage to property</w:t>
      </w:r>
      <w:r w:rsidR="00BC7EF0">
        <w:rPr>
          <w:rFonts w:ascii="Arial" w:eastAsia="Arial" w:hAnsi="Arial" w:cs="Arial"/>
          <w:i/>
          <w:iCs/>
          <w:sz w:val="22"/>
          <w:szCs w:val="22"/>
        </w:rPr>
        <w:t>,'</w:t>
      </w:r>
      <w:r w:rsidR="00BC7EF0">
        <w:rPr>
          <w:rFonts w:ascii="Arial" w:eastAsia="Arial" w:hAnsi="Arial" w:cs="Arial"/>
          <w:sz w:val="22"/>
          <w:szCs w:val="22"/>
        </w:rPr>
        <w:t xml:space="preserve"> </w:t>
      </w:r>
    </w:p>
    <w:p w:rsidR="00111F32" w:rsidRDefault="000547B2" w:rsidP="00826FC5">
      <w:pPr>
        <w:spacing w:before="240" w:after="240" w:line="276" w:lineRule="auto"/>
        <w:rPr>
          <w:rFonts w:ascii="Arial" w:eastAsia="Arial" w:hAnsi="Arial" w:cs="Arial"/>
          <w:sz w:val="22"/>
          <w:szCs w:val="22"/>
          <w:u w:val="single"/>
        </w:rPr>
      </w:pPr>
      <w:r>
        <w:rPr>
          <w:rFonts w:ascii="Arial" w:eastAsia="Arial" w:hAnsi="Arial" w:cs="Arial"/>
          <w:sz w:val="22"/>
          <w:szCs w:val="22"/>
        </w:rPr>
        <w:t>The ITIC web site, previously hosted by the IODE web portal but now in transition to the UNESCO tsunami server using O</w:t>
      </w:r>
      <w:proofErr w:type="spellStart"/>
      <w:r>
        <w:rPr>
          <w:rFonts w:ascii="Arial" w:eastAsia="Arial" w:hAnsi="Arial" w:cs="Arial"/>
          <w:sz w:val="22"/>
          <w:szCs w:val="22"/>
        </w:rPr>
        <w:t>ceanExpert</w:t>
      </w:r>
      <w:proofErr w:type="spellEnd"/>
      <w:r>
        <w:rPr>
          <w:rFonts w:ascii="Arial" w:eastAsia="Arial" w:hAnsi="Arial" w:cs="Arial"/>
          <w:sz w:val="22"/>
          <w:szCs w:val="22"/>
        </w:rPr>
        <w:t xml:space="preserve"> as a file repository, has traditionally served as a resource for sharing global tsunami awareness products and preparedness tools</w:t>
      </w:r>
      <w:r w:rsidR="00514C73">
        <w:rPr>
          <w:rFonts w:ascii="Arial" w:eastAsia="Arial" w:hAnsi="Arial" w:cs="Arial"/>
          <w:sz w:val="22"/>
          <w:szCs w:val="22"/>
        </w:rPr>
        <w:t xml:space="preserve">, but has </w:t>
      </w:r>
      <w:r w:rsidR="00514C73">
        <w:rPr>
          <w:rFonts w:ascii="Arial" w:eastAsia="Arial" w:hAnsi="Arial" w:cs="Arial"/>
          <w:sz w:val="22"/>
          <w:szCs w:val="22"/>
        </w:rPr>
        <w:lastRenderedPageBreak/>
        <w:t>not attempted to offer comprehensive services for the Pacific due to limited staffing and time resources.</w:t>
      </w:r>
      <w:r w:rsidR="00826FC5">
        <w:rPr>
          <w:rFonts w:ascii="Arial" w:eastAsia="Arial" w:hAnsi="Arial" w:cs="Arial"/>
          <w:sz w:val="22"/>
          <w:szCs w:val="22"/>
        </w:rPr>
        <w:t xml:space="preserve"> </w:t>
      </w:r>
    </w:p>
    <w:p w:rsidR="00111F32" w:rsidRDefault="00000000" w:rsidP="00123AAE">
      <w:pPr>
        <w:spacing w:before="240" w:after="240" w:line="276" w:lineRule="auto"/>
        <w:rPr>
          <w:rFonts w:ascii="Arial" w:eastAsia="Arial" w:hAnsi="Arial" w:cs="Arial"/>
          <w:sz w:val="22"/>
          <w:szCs w:val="22"/>
        </w:rPr>
      </w:pPr>
      <w:r>
        <w:rPr>
          <w:rFonts w:ascii="Arial" w:eastAsia="Arial" w:hAnsi="Arial" w:cs="Arial"/>
          <w:sz w:val="22"/>
          <w:szCs w:val="22"/>
        </w:rPr>
        <w:t>The Working Group sees value in an effort to collate guidance and material on certain topics (e.g.</w:t>
      </w:r>
      <w:r w:rsidR="00826FC5">
        <w:rPr>
          <w:rFonts w:ascii="Arial" w:eastAsia="Arial" w:hAnsi="Arial" w:cs="Arial"/>
          <w:sz w:val="22"/>
          <w:szCs w:val="22"/>
        </w:rPr>
        <w:t>,</w:t>
      </w:r>
      <w:r>
        <w:rPr>
          <w:rFonts w:ascii="Arial" w:eastAsia="Arial" w:hAnsi="Arial" w:cs="Arial"/>
          <w:sz w:val="22"/>
          <w:szCs w:val="22"/>
        </w:rPr>
        <w:t xml:space="preserve"> preparedness, risk assessment, risk reduction) for </w:t>
      </w:r>
      <w:r w:rsidR="000547B2">
        <w:rPr>
          <w:rFonts w:ascii="Arial" w:eastAsia="Arial" w:hAnsi="Arial" w:cs="Arial"/>
          <w:sz w:val="22"/>
          <w:szCs w:val="22"/>
        </w:rPr>
        <w:t xml:space="preserve">PTWS </w:t>
      </w:r>
      <w:r>
        <w:rPr>
          <w:rFonts w:ascii="Arial" w:eastAsia="Arial" w:hAnsi="Arial" w:cs="Arial"/>
          <w:sz w:val="22"/>
          <w:szCs w:val="22"/>
        </w:rPr>
        <w:t>member states, to enable the spread of best practice, and reduce the duplication of effort. This could be at a global scale, specific to the Pacific, or multi-hazard as preferred. This has previously been recommended but is lacking a sharing mechanism.</w:t>
      </w:r>
    </w:p>
    <w:p w:rsidR="00111F32" w:rsidRDefault="00000000" w:rsidP="00123AAE">
      <w:pPr>
        <w:spacing w:before="240" w:after="240" w:line="276" w:lineRule="auto"/>
        <w:rPr>
          <w:rFonts w:ascii="Arial" w:eastAsia="Arial" w:hAnsi="Arial" w:cs="Arial"/>
          <w:sz w:val="22"/>
          <w:szCs w:val="22"/>
        </w:rPr>
      </w:pPr>
      <w:r>
        <w:rPr>
          <w:rFonts w:ascii="Arial" w:eastAsia="Arial" w:hAnsi="Arial" w:cs="Arial"/>
          <w:sz w:val="22"/>
          <w:szCs w:val="22"/>
        </w:rPr>
        <w:t>This would ideally have two components:</w:t>
      </w:r>
    </w:p>
    <w:p w:rsidR="00111F32" w:rsidRDefault="00000000" w:rsidP="00123AAE">
      <w:pPr>
        <w:numPr>
          <w:ilvl w:val="0"/>
          <w:numId w:val="5"/>
        </w:numPr>
        <w:pBdr>
          <w:top w:val="nil"/>
          <w:left w:val="nil"/>
          <w:bottom w:val="nil"/>
          <w:right w:val="nil"/>
          <w:between w:val="nil"/>
        </w:pBdr>
        <w:tabs>
          <w:tab w:val="left" w:pos="709"/>
        </w:tabs>
        <w:spacing w:before="240" w:line="276" w:lineRule="auto"/>
        <w:rPr>
          <w:rFonts w:ascii="Arial" w:eastAsia="Arial" w:hAnsi="Arial" w:cs="Arial"/>
          <w:color w:val="000000"/>
          <w:sz w:val="22"/>
          <w:szCs w:val="22"/>
        </w:rPr>
      </w:pPr>
      <w:r>
        <w:rPr>
          <w:rFonts w:ascii="Arial" w:eastAsia="Arial" w:hAnsi="Arial" w:cs="Arial"/>
          <w:color w:val="000000"/>
          <w:sz w:val="22"/>
          <w:szCs w:val="22"/>
        </w:rPr>
        <w:t xml:space="preserve">A mechanism for Member States to share relevant documentation &amp; resources for collation. </w:t>
      </w:r>
    </w:p>
    <w:p w:rsidR="00111F32" w:rsidRDefault="00000000" w:rsidP="00123AAE">
      <w:pPr>
        <w:numPr>
          <w:ilvl w:val="0"/>
          <w:numId w:val="5"/>
        </w:numPr>
        <w:pBdr>
          <w:top w:val="nil"/>
          <w:left w:val="nil"/>
          <w:bottom w:val="nil"/>
          <w:right w:val="nil"/>
          <w:between w:val="nil"/>
        </w:pBdr>
        <w:tabs>
          <w:tab w:val="left" w:pos="709"/>
        </w:tabs>
        <w:spacing w:after="240" w:line="276" w:lineRule="auto"/>
        <w:rPr>
          <w:rFonts w:ascii="Arial" w:eastAsia="Arial" w:hAnsi="Arial" w:cs="Arial"/>
          <w:color w:val="000000"/>
          <w:sz w:val="22"/>
          <w:szCs w:val="22"/>
        </w:rPr>
      </w:pPr>
      <w:r>
        <w:rPr>
          <w:rFonts w:ascii="Arial" w:eastAsia="Arial" w:hAnsi="Arial" w:cs="Arial"/>
          <w:color w:val="000000"/>
          <w:sz w:val="22"/>
          <w:szCs w:val="22"/>
        </w:rPr>
        <w:t xml:space="preserve">A landing page for people to access those resources. </w:t>
      </w:r>
    </w:p>
    <w:p w:rsidR="00111F32" w:rsidRDefault="00000000" w:rsidP="00123AAE">
      <w:pPr>
        <w:spacing w:before="240" w:line="276" w:lineRule="auto"/>
        <w:rPr>
          <w:rFonts w:ascii="Arial" w:eastAsia="Arial" w:hAnsi="Arial" w:cs="Arial"/>
          <w:sz w:val="22"/>
          <w:szCs w:val="22"/>
        </w:rPr>
      </w:pPr>
      <w:r>
        <w:rPr>
          <w:rFonts w:ascii="Arial" w:eastAsia="Arial" w:hAnsi="Arial" w:cs="Arial"/>
          <w:sz w:val="22"/>
          <w:szCs w:val="22"/>
        </w:rPr>
        <w:t xml:space="preserve">Early investigation of this has indicated that the </w:t>
      </w:r>
      <w:proofErr w:type="spellStart"/>
      <w:r>
        <w:rPr>
          <w:rFonts w:ascii="Arial" w:eastAsia="Arial" w:hAnsi="Arial" w:cs="Arial"/>
          <w:sz w:val="22"/>
          <w:szCs w:val="22"/>
        </w:rPr>
        <w:t>OceanExpert</w:t>
      </w:r>
      <w:proofErr w:type="spellEnd"/>
      <w:r>
        <w:rPr>
          <w:rFonts w:ascii="Arial" w:eastAsia="Arial" w:hAnsi="Arial" w:cs="Arial"/>
          <w:sz w:val="22"/>
          <w:szCs w:val="22"/>
        </w:rPr>
        <w:t xml:space="preserve"> </w:t>
      </w:r>
      <w:proofErr w:type="spellStart"/>
      <w:r>
        <w:rPr>
          <w:rFonts w:ascii="Arial" w:eastAsia="Arial" w:hAnsi="Arial" w:cs="Arial"/>
          <w:sz w:val="22"/>
          <w:szCs w:val="22"/>
        </w:rPr>
        <w:t>doclist</w:t>
      </w:r>
      <w:proofErr w:type="spellEnd"/>
      <w:r>
        <w:rPr>
          <w:rFonts w:ascii="Arial" w:eastAsia="Arial" w:hAnsi="Arial" w:cs="Arial"/>
          <w:sz w:val="22"/>
          <w:szCs w:val="22"/>
        </w:rPr>
        <w:t xml:space="preserve"> may be an appropriate mechanism to support this, however, further work is required in order to scope and test usability for this purpose. </w:t>
      </w:r>
    </w:p>
    <w:p w:rsidR="000547B2" w:rsidRDefault="000547B2" w:rsidP="00BC7EF0">
      <w:pPr>
        <w:spacing w:before="240" w:line="276" w:lineRule="auto"/>
        <w:rPr>
          <w:rFonts w:ascii="Arial" w:eastAsia="Arial" w:hAnsi="Arial" w:cs="Arial"/>
          <w:sz w:val="22"/>
          <w:szCs w:val="22"/>
        </w:rPr>
      </w:pPr>
      <w:r w:rsidRPr="00BC7EF0">
        <w:rPr>
          <w:rFonts w:ascii="Arial" w:eastAsia="Arial" w:hAnsi="Arial" w:cs="Arial"/>
          <w:sz w:val="22"/>
          <w:szCs w:val="22"/>
        </w:rPr>
        <w:t xml:space="preserve">As the ITIC fully transitions its materials and services, it </w:t>
      </w:r>
      <w:r w:rsidR="00514C73">
        <w:rPr>
          <w:rFonts w:ascii="Arial" w:eastAsia="Arial" w:hAnsi="Arial" w:cs="Arial"/>
          <w:sz w:val="22"/>
          <w:szCs w:val="22"/>
        </w:rPr>
        <w:t>will</w:t>
      </w:r>
      <w:r w:rsidR="00BC7EF0" w:rsidRPr="00BC7EF0">
        <w:rPr>
          <w:rFonts w:ascii="Arial" w:eastAsia="Arial" w:hAnsi="Arial" w:cs="Arial"/>
          <w:sz w:val="22"/>
          <w:szCs w:val="22"/>
        </w:rPr>
        <w:t xml:space="preserve"> investigate mechanisms for the Pacific and report back to the WG3.  In the interim, </w:t>
      </w:r>
      <w:r>
        <w:rPr>
          <w:rFonts w:ascii="Arial" w:eastAsia="Arial" w:hAnsi="Arial" w:cs="Arial"/>
          <w:sz w:val="22"/>
          <w:szCs w:val="22"/>
        </w:rPr>
        <w:t>the ITIC requests Member States to share their best practices material, programs and tools with the ITIC, so that in turn the ITIC can share them with the PTWS and globally.</w:t>
      </w:r>
    </w:p>
    <w:p w:rsidR="00111F32" w:rsidRDefault="00111F32">
      <w:pPr>
        <w:spacing w:line="276" w:lineRule="auto"/>
        <w:jc w:val="both"/>
        <w:rPr>
          <w:rFonts w:ascii="Arial" w:eastAsia="Arial" w:hAnsi="Arial" w:cs="Arial"/>
          <w:sz w:val="22"/>
          <w:szCs w:val="22"/>
        </w:rPr>
      </w:pPr>
    </w:p>
    <w:tbl>
      <w:tblPr>
        <w:tblStyle w:val="a3"/>
        <w:tblW w:w="9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0"/>
      </w:tblGrid>
      <w:tr w:rsidR="00111F32">
        <w:tc>
          <w:tcPr>
            <w:tcW w:w="9020" w:type="dxa"/>
            <w:shd w:val="clear" w:color="auto" w:fill="auto"/>
            <w:tcMar>
              <w:top w:w="100" w:type="dxa"/>
              <w:left w:w="100" w:type="dxa"/>
              <w:bottom w:w="100" w:type="dxa"/>
              <w:right w:w="100" w:type="dxa"/>
            </w:tcMar>
          </w:tcPr>
          <w:p w:rsidR="00111F32" w:rsidRPr="000A4DF9" w:rsidRDefault="00000000" w:rsidP="000A4DF9">
            <w:pPr>
              <w:pBdr>
                <w:top w:val="nil"/>
                <w:left w:val="nil"/>
                <w:bottom w:val="nil"/>
                <w:right w:val="nil"/>
                <w:between w:val="nil"/>
              </w:pBdr>
              <w:spacing w:before="120" w:after="120" w:line="278" w:lineRule="auto"/>
              <w:ind w:right="14"/>
              <w:rPr>
                <w:rFonts w:ascii="Arial" w:eastAsia="Arial" w:hAnsi="Arial" w:cs="Arial"/>
                <w:b/>
                <w:bCs/>
                <w:sz w:val="22"/>
                <w:szCs w:val="22"/>
              </w:rPr>
            </w:pPr>
            <w:r w:rsidRPr="000A4DF9">
              <w:rPr>
                <w:rFonts w:ascii="Arial" w:eastAsia="Arial" w:hAnsi="Arial" w:cs="Arial"/>
                <w:b/>
                <w:bCs/>
                <w:sz w:val="22"/>
                <w:szCs w:val="22"/>
              </w:rPr>
              <w:t xml:space="preserve">Working Group Three </w:t>
            </w:r>
            <w:r w:rsidR="00DE48D7">
              <w:rPr>
                <w:rFonts w:ascii="Arial" w:eastAsia="Arial" w:hAnsi="Arial" w:cs="Arial"/>
                <w:b/>
                <w:bCs/>
                <w:sz w:val="22"/>
                <w:szCs w:val="22"/>
              </w:rPr>
              <w:t>recommendation to</w:t>
            </w:r>
            <w:r w:rsidR="00DE48D7" w:rsidRPr="000A4DF9">
              <w:rPr>
                <w:rFonts w:ascii="Arial" w:eastAsia="Arial" w:hAnsi="Arial" w:cs="Arial"/>
                <w:b/>
                <w:bCs/>
                <w:sz w:val="22"/>
                <w:szCs w:val="22"/>
              </w:rPr>
              <w:t xml:space="preserve"> </w:t>
            </w:r>
            <w:r w:rsidRPr="000A4DF9">
              <w:rPr>
                <w:rFonts w:ascii="Arial" w:eastAsia="Arial" w:hAnsi="Arial" w:cs="Arial"/>
                <w:b/>
                <w:bCs/>
                <w:sz w:val="22"/>
                <w:szCs w:val="22"/>
              </w:rPr>
              <w:t>the ICG/PTWS:</w:t>
            </w:r>
          </w:p>
          <w:p w:rsidR="00111F32" w:rsidRDefault="00000000" w:rsidP="000A4DF9">
            <w:pPr>
              <w:spacing w:before="120" w:after="120" w:line="278" w:lineRule="auto"/>
              <w:ind w:right="14"/>
              <w:rPr>
                <w:rFonts w:ascii="Arial" w:eastAsia="Arial" w:hAnsi="Arial" w:cs="Arial"/>
                <w:sz w:val="22"/>
                <w:szCs w:val="22"/>
              </w:rPr>
            </w:pPr>
            <w:r w:rsidRPr="000A4DF9">
              <w:rPr>
                <w:rFonts w:ascii="Arial" w:eastAsia="Arial" w:hAnsi="Arial" w:cs="Arial"/>
                <w:b/>
                <w:bCs/>
                <w:sz w:val="22"/>
                <w:szCs w:val="22"/>
              </w:rPr>
              <w:t xml:space="preserve">Requests </w:t>
            </w:r>
            <w:r w:rsidRPr="000A4DF9">
              <w:rPr>
                <w:rFonts w:ascii="Arial" w:eastAsia="Arial" w:hAnsi="Arial" w:cs="Arial"/>
                <w:sz w:val="22"/>
                <w:szCs w:val="22"/>
              </w:rPr>
              <w:t xml:space="preserve">that Working Group 3 </w:t>
            </w:r>
            <w:r w:rsidR="00514C73">
              <w:rPr>
                <w:rFonts w:ascii="Arial" w:eastAsia="Arial" w:hAnsi="Arial" w:cs="Arial"/>
                <w:sz w:val="22"/>
                <w:szCs w:val="22"/>
              </w:rPr>
              <w:t xml:space="preserve">and the ITIC </w:t>
            </w:r>
            <w:r w:rsidRPr="000A4DF9">
              <w:rPr>
                <w:rFonts w:ascii="Arial" w:eastAsia="Arial" w:hAnsi="Arial" w:cs="Arial"/>
                <w:sz w:val="22"/>
                <w:szCs w:val="22"/>
              </w:rPr>
              <w:t>continue to explore mechanisms with the Secretariat for Member States to share materials, in order to better facilitate the collection and accessibility of best practice resources on disaster management and preparedness topics</w:t>
            </w:r>
            <w:r w:rsidR="00E764D9">
              <w:rPr>
                <w:rFonts w:ascii="Arial" w:eastAsia="Arial" w:hAnsi="Arial" w:cs="Arial"/>
                <w:sz w:val="22"/>
                <w:szCs w:val="22"/>
              </w:rPr>
              <w:t>.</w:t>
            </w:r>
          </w:p>
          <w:p w:rsidR="00514C73" w:rsidRDefault="00514C73" w:rsidP="000A4DF9">
            <w:pPr>
              <w:spacing w:before="120" w:after="120" w:line="278" w:lineRule="auto"/>
              <w:ind w:right="14"/>
              <w:rPr>
                <w:rFonts w:ascii="Arial" w:eastAsia="Arial" w:hAnsi="Arial" w:cs="Arial"/>
                <w:sz w:val="22"/>
                <w:szCs w:val="22"/>
              </w:rPr>
            </w:pPr>
            <w:r>
              <w:rPr>
                <w:rFonts w:ascii="Arial" w:eastAsia="Arial" w:hAnsi="Arial" w:cs="Arial"/>
                <w:b/>
                <w:bCs/>
                <w:sz w:val="22"/>
                <w:szCs w:val="22"/>
              </w:rPr>
              <w:t>Welcomes</w:t>
            </w:r>
            <w:r>
              <w:rPr>
                <w:rFonts w:ascii="Arial" w:eastAsia="Arial" w:hAnsi="Arial" w:cs="Arial"/>
                <w:sz w:val="22"/>
                <w:szCs w:val="22"/>
              </w:rPr>
              <w:t xml:space="preserve"> the ITIC offer to host an interim </w:t>
            </w:r>
            <w:r w:rsidRPr="00514C73">
              <w:rPr>
                <w:rFonts w:ascii="Arial" w:eastAsia="Arial" w:hAnsi="Arial" w:cs="Arial"/>
                <w:sz w:val="22"/>
                <w:szCs w:val="22"/>
              </w:rPr>
              <w:t>repository</w:t>
            </w:r>
            <w:r>
              <w:rPr>
                <w:rFonts w:ascii="Arial" w:eastAsia="Arial" w:hAnsi="Arial" w:cs="Arial"/>
                <w:sz w:val="22"/>
                <w:szCs w:val="22"/>
              </w:rPr>
              <w:t xml:space="preserve">, and </w:t>
            </w:r>
            <w:r w:rsidRPr="00514C73">
              <w:rPr>
                <w:rFonts w:ascii="Arial" w:eastAsia="Arial" w:hAnsi="Arial" w:cs="Arial"/>
                <w:b/>
                <w:bCs/>
                <w:sz w:val="22"/>
                <w:szCs w:val="22"/>
              </w:rPr>
              <w:t>requests</w:t>
            </w:r>
            <w:r>
              <w:rPr>
                <w:rFonts w:ascii="Arial" w:eastAsia="Arial" w:hAnsi="Arial" w:cs="Arial"/>
                <w:sz w:val="22"/>
                <w:szCs w:val="22"/>
              </w:rPr>
              <w:t xml:space="preserve"> </w:t>
            </w:r>
            <w:r w:rsidRPr="00514C73">
              <w:rPr>
                <w:rFonts w:ascii="Arial" w:eastAsia="Arial" w:hAnsi="Arial" w:cs="Arial"/>
                <w:sz w:val="22"/>
                <w:szCs w:val="22"/>
              </w:rPr>
              <w:t xml:space="preserve">PTWS Member States to </w:t>
            </w:r>
            <w:r w:rsidRPr="00514C73">
              <w:rPr>
                <w:rFonts w:ascii="Arial" w:eastAsia="Arial" w:hAnsi="Arial" w:cs="Arial"/>
                <w:sz w:val="22"/>
                <w:szCs w:val="22"/>
              </w:rPr>
              <w:t xml:space="preserve">share their best practice </w:t>
            </w:r>
            <w:r w:rsidRPr="00514C73">
              <w:rPr>
                <w:rFonts w:ascii="Arial" w:eastAsia="Arial" w:hAnsi="Arial" w:cs="Arial"/>
                <w:sz w:val="22"/>
                <w:szCs w:val="22"/>
              </w:rPr>
              <w:t xml:space="preserve">awareness and </w:t>
            </w:r>
            <w:r w:rsidRPr="00514C73">
              <w:rPr>
                <w:rFonts w:ascii="Arial" w:eastAsia="Arial" w:hAnsi="Arial" w:cs="Arial"/>
                <w:sz w:val="22"/>
                <w:szCs w:val="22"/>
              </w:rPr>
              <w:t>preparedness material, programs and assessment tools</w:t>
            </w:r>
            <w:r w:rsidRPr="00514C73">
              <w:rPr>
                <w:rFonts w:ascii="Arial" w:eastAsia="Arial" w:hAnsi="Arial" w:cs="Arial"/>
                <w:sz w:val="22"/>
                <w:szCs w:val="22"/>
              </w:rPr>
              <w:t xml:space="preserve"> </w:t>
            </w:r>
            <w:r w:rsidRPr="00514C73">
              <w:rPr>
                <w:rFonts w:ascii="Arial" w:eastAsia="Arial" w:hAnsi="Arial" w:cs="Arial"/>
                <w:sz w:val="22"/>
                <w:szCs w:val="22"/>
              </w:rPr>
              <w:t>with the ITIC</w:t>
            </w:r>
            <w:r w:rsidRPr="00514C73">
              <w:rPr>
                <w:rFonts w:ascii="Arial" w:eastAsia="Arial" w:hAnsi="Arial" w:cs="Arial"/>
                <w:sz w:val="22"/>
                <w:szCs w:val="22"/>
              </w:rPr>
              <w:t xml:space="preserve"> to compi</w:t>
            </w:r>
            <w:r>
              <w:rPr>
                <w:rFonts w:ascii="Arial" w:eastAsia="Arial" w:hAnsi="Arial" w:cs="Arial"/>
                <w:sz w:val="22"/>
                <w:szCs w:val="22"/>
              </w:rPr>
              <w:t>le and maintain</w:t>
            </w:r>
            <w:r w:rsidR="00E764D9">
              <w:rPr>
                <w:rFonts w:ascii="Arial" w:eastAsia="Arial" w:hAnsi="Arial" w:cs="Arial"/>
                <w:sz w:val="22"/>
                <w:szCs w:val="22"/>
              </w:rPr>
              <w:t xml:space="preserve"> for the PTWS</w:t>
            </w:r>
            <w:r>
              <w:rPr>
                <w:rFonts w:ascii="Arial" w:eastAsia="Arial" w:hAnsi="Arial" w:cs="Arial"/>
                <w:sz w:val="22"/>
                <w:szCs w:val="22"/>
              </w:rPr>
              <w:t>.</w:t>
            </w:r>
          </w:p>
        </w:tc>
      </w:tr>
    </w:tbl>
    <w:p w:rsidR="00E81485" w:rsidRPr="00E81485" w:rsidRDefault="00E81485" w:rsidP="00E81485">
      <w:pPr>
        <w:spacing w:before="240" w:after="240" w:line="276" w:lineRule="auto"/>
        <w:jc w:val="both"/>
        <w:rPr>
          <w:rFonts w:ascii="Arial" w:eastAsia="Arial" w:hAnsi="Arial" w:cs="Arial"/>
          <w:b/>
          <w:sz w:val="2"/>
          <w:szCs w:val="2"/>
          <w:u w:val="single"/>
        </w:rPr>
      </w:pPr>
    </w:p>
    <w:p w:rsidR="00E81485" w:rsidRPr="004D0DA1" w:rsidRDefault="00E81485" w:rsidP="004D0DA1">
      <w:pPr>
        <w:spacing w:before="240" w:after="240" w:line="276" w:lineRule="auto"/>
        <w:ind w:left="360" w:hanging="360"/>
        <w:jc w:val="both"/>
        <w:rPr>
          <w:rFonts w:ascii="Arial" w:eastAsia="Arial" w:hAnsi="Arial" w:cs="Arial"/>
          <w:b/>
          <w:bCs/>
          <w:sz w:val="22"/>
          <w:szCs w:val="22"/>
          <w:u w:val="single"/>
        </w:rPr>
      </w:pPr>
      <w:r w:rsidRPr="004D0DA1">
        <w:rPr>
          <w:rFonts w:ascii="Arial" w:eastAsia="Arial" w:hAnsi="Arial" w:cs="Arial"/>
          <w:b/>
          <w:bCs/>
          <w:sz w:val="22"/>
          <w:szCs w:val="22"/>
          <w:u w:val="single"/>
        </w:rPr>
        <w:t>5</w:t>
      </w:r>
      <w:r w:rsidRPr="004D0DA1">
        <w:rPr>
          <w:rFonts w:ascii="Arial" w:eastAsia="Arial" w:hAnsi="Arial" w:cs="Arial"/>
          <w:b/>
          <w:bCs/>
          <w:sz w:val="22"/>
          <w:szCs w:val="22"/>
          <w:u w:val="single"/>
        </w:rPr>
        <w:t>.</w:t>
      </w:r>
      <w:r w:rsidRPr="00DC549D">
        <w:rPr>
          <w:rFonts w:ascii="Arial" w:eastAsia="Arial" w:hAnsi="Arial" w:cs="Arial"/>
          <w:b/>
          <w:bCs/>
          <w:sz w:val="22"/>
          <w:szCs w:val="22"/>
        </w:rPr>
        <w:t xml:space="preserve"> </w:t>
      </w:r>
      <w:r w:rsidR="004D0DA1" w:rsidRPr="00DC549D">
        <w:rPr>
          <w:rFonts w:ascii="Arial" w:eastAsia="Arial" w:hAnsi="Arial" w:cs="Arial"/>
          <w:b/>
          <w:bCs/>
          <w:sz w:val="22"/>
          <w:szCs w:val="22"/>
        </w:rPr>
        <w:tab/>
      </w:r>
      <w:r w:rsidRPr="004D0DA1">
        <w:rPr>
          <w:rFonts w:ascii="Arial" w:eastAsia="Arial" w:hAnsi="Arial" w:cs="Arial"/>
          <w:b/>
          <w:bCs/>
          <w:sz w:val="22"/>
          <w:szCs w:val="22"/>
          <w:u w:val="single"/>
        </w:rPr>
        <w:t>Support the ITIC of the ICG</w:t>
      </w:r>
    </w:p>
    <w:p w:rsidR="00C730B9" w:rsidRDefault="00C730B9" w:rsidP="00536292">
      <w:pPr>
        <w:spacing w:before="240" w:after="240" w:line="276" w:lineRule="auto"/>
        <w:rPr>
          <w:rFonts w:ascii="Arial" w:eastAsia="Arial" w:hAnsi="Arial" w:cs="Arial"/>
          <w:sz w:val="22"/>
          <w:szCs w:val="22"/>
        </w:rPr>
      </w:pPr>
      <w:r>
        <w:rPr>
          <w:rFonts w:ascii="Arial" w:eastAsia="Arial" w:hAnsi="Arial" w:cs="Arial"/>
          <w:sz w:val="22"/>
          <w:szCs w:val="22"/>
        </w:rPr>
        <w:t xml:space="preserve">The ITIC appreciates the support of PTWS Member States to accomplish its work activities.  These include the sharing of best practice materials which can then shared in ITIC and IOC presentations, reports, guidelines, and videos.  ITIC especially </w:t>
      </w:r>
      <w:proofErr w:type="spellStart"/>
      <w:r>
        <w:rPr>
          <w:rFonts w:ascii="Arial" w:eastAsia="Arial" w:hAnsi="Arial" w:cs="Arial"/>
          <w:sz w:val="22"/>
          <w:szCs w:val="22"/>
        </w:rPr>
        <w:t>recognises</w:t>
      </w:r>
      <w:proofErr w:type="spellEnd"/>
      <w:r>
        <w:rPr>
          <w:rFonts w:ascii="Arial" w:eastAsia="Arial" w:hAnsi="Arial" w:cs="Arial"/>
          <w:sz w:val="22"/>
          <w:szCs w:val="22"/>
        </w:rPr>
        <w:t xml:space="preserve"> the Chile</w:t>
      </w:r>
      <w:r w:rsidR="00C71A2E">
        <w:rPr>
          <w:rFonts w:ascii="Arial" w:eastAsia="Arial" w:hAnsi="Arial" w:cs="Arial"/>
          <w:sz w:val="22"/>
          <w:szCs w:val="22"/>
        </w:rPr>
        <w:t>, Costa Rica, New Zealand, and the USA for its open sharing of materials.</w:t>
      </w:r>
      <w:r>
        <w:rPr>
          <w:rFonts w:ascii="Arial" w:eastAsia="Arial" w:hAnsi="Arial" w:cs="Arial"/>
          <w:sz w:val="22"/>
          <w:szCs w:val="22"/>
        </w:rPr>
        <w:t xml:space="preserve">   </w:t>
      </w:r>
    </w:p>
    <w:p w:rsidR="00536292" w:rsidRDefault="00536292" w:rsidP="00536292">
      <w:pPr>
        <w:spacing w:before="240" w:after="240" w:line="276" w:lineRule="auto"/>
        <w:rPr>
          <w:rFonts w:ascii="Arial" w:eastAsia="Arial" w:hAnsi="Arial" w:cs="Arial"/>
          <w:sz w:val="22"/>
          <w:szCs w:val="22"/>
        </w:rPr>
      </w:pPr>
      <w:r>
        <w:rPr>
          <w:rFonts w:ascii="Arial" w:eastAsia="Arial" w:hAnsi="Arial" w:cs="Arial"/>
          <w:sz w:val="22"/>
          <w:szCs w:val="22"/>
        </w:rPr>
        <w:t xml:space="preserve">Please refer to the ITIC report for full detail of ITIC </w:t>
      </w:r>
      <w:r w:rsidR="00C730B9">
        <w:rPr>
          <w:rFonts w:ascii="Arial" w:eastAsia="Arial" w:hAnsi="Arial" w:cs="Arial"/>
          <w:sz w:val="22"/>
          <w:szCs w:val="22"/>
        </w:rPr>
        <w:t>activities for</w:t>
      </w:r>
      <w:r>
        <w:rPr>
          <w:rFonts w:ascii="Arial" w:eastAsia="Arial" w:hAnsi="Arial" w:cs="Arial"/>
          <w:sz w:val="22"/>
          <w:szCs w:val="22"/>
        </w:rPr>
        <w:t xml:space="preserve"> the ICG/PTWS</w:t>
      </w:r>
      <w:r>
        <w:rPr>
          <w:rFonts w:ascii="Arial" w:eastAsia="Arial" w:hAnsi="Arial" w:cs="Arial"/>
          <w:sz w:val="22"/>
          <w:szCs w:val="22"/>
        </w:rPr>
        <w:t xml:space="preserve"> under ICG/PTWS XXXI agenda item 3.6.</w:t>
      </w:r>
    </w:p>
    <w:p w:rsidR="00E81485" w:rsidRPr="004D0DA1" w:rsidRDefault="00E81485" w:rsidP="004D0DA1">
      <w:pPr>
        <w:spacing w:before="240" w:after="240" w:line="276" w:lineRule="auto"/>
        <w:ind w:left="360" w:hanging="360"/>
        <w:jc w:val="both"/>
        <w:rPr>
          <w:rFonts w:ascii="Arial" w:eastAsia="Arial" w:hAnsi="Arial" w:cs="Arial"/>
          <w:b/>
          <w:bCs/>
          <w:sz w:val="22"/>
          <w:szCs w:val="22"/>
          <w:u w:val="single"/>
        </w:rPr>
      </w:pPr>
      <w:r w:rsidRPr="004D0DA1">
        <w:rPr>
          <w:rFonts w:ascii="Arial" w:eastAsia="Arial" w:hAnsi="Arial" w:cs="Arial"/>
          <w:b/>
          <w:bCs/>
          <w:sz w:val="22"/>
          <w:szCs w:val="22"/>
          <w:u w:val="single"/>
        </w:rPr>
        <w:t>6</w:t>
      </w:r>
      <w:r w:rsidRPr="004D0DA1">
        <w:rPr>
          <w:rFonts w:ascii="Arial" w:eastAsia="Arial" w:hAnsi="Arial" w:cs="Arial"/>
          <w:b/>
          <w:bCs/>
          <w:sz w:val="22"/>
          <w:szCs w:val="22"/>
          <w:u w:val="single"/>
        </w:rPr>
        <w:t>.</w:t>
      </w:r>
      <w:r w:rsidRPr="00DC549D">
        <w:rPr>
          <w:rFonts w:ascii="Arial" w:eastAsia="Arial" w:hAnsi="Arial" w:cs="Arial"/>
          <w:b/>
          <w:bCs/>
          <w:sz w:val="22"/>
          <w:szCs w:val="22"/>
        </w:rPr>
        <w:t xml:space="preserve"> </w:t>
      </w:r>
      <w:r w:rsidR="004D0DA1" w:rsidRPr="00DC549D">
        <w:rPr>
          <w:rFonts w:ascii="Arial" w:eastAsia="Arial" w:hAnsi="Arial" w:cs="Arial"/>
          <w:b/>
          <w:bCs/>
          <w:sz w:val="22"/>
          <w:szCs w:val="22"/>
        </w:rPr>
        <w:tab/>
      </w:r>
      <w:r w:rsidRPr="004D0DA1">
        <w:rPr>
          <w:rFonts w:ascii="Arial" w:eastAsia="Arial" w:hAnsi="Arial" w:cs="Arial"/>
          <w:b/>
          <w:bCs/>
          <w:sz w:val="22"/>
          <w:szCs w:val="22"/>
          <w:u w:val="single"/>
        </w:rPr>
        <w:t>Governance</w:t>
      </w:r>
    </w:p>
    <w:p w:rsidR="00111F32" w:rsidRDefault="00000000" w:rsidP="00123AAE">
      <w:pPr>
        <w:spacing w:before="240" w:after="240" w:line="276" w:lineRule="auto"/>
        <w:rPr>
          <w:rFonts w:ascii="Arial" w:eastAsia="Arial" w:hAnsi="Arial" w:cs="Arial"/>
          <w:sz w:val="22"/>
          <w:szCs w:val="22"/>
        </w:rPr>
      </w:pPr>
      <w:r>
        <w:rPr>
          <w:rFonts w:ascii="Arial" w:eastAsia="Arial" w:hAnsi="Arial" w:cs="Arial"/>
          <w:sz w:val="22"/>
          <w:szCs w:val="22"/>
        </w:rPr>
        <w:lastRenderedPageBreak/>
        <w:t xml:space="preserve">The Working Group notes the importance of encouraging more NDMO participation and involvement in PTWS discussions and governance mechanisms, especially given the nature of the UN Ocean Decade Goals and their connection with disaster management and preparedness. </w:t>
      </w:r>
    </w:p>
    <w:p w:rsidR="00111F32" w:rsidRDefault="00000000" w:rsidP="00123AAE">
      <w:pPr>
        <w:spacing w:before="240" w:after="240" w:line="276" w:lineRule="auto"/>
        <w:rPr>
          <w:rFonts w:ascii="Arial" w:eastAsia="Arial" w:hAnsi="Arial" w:cs="Arial"/>
          <w:sz w:val="22"/>
          <w:szCs w:val="22"/>
        </w:rPr>
      </w:pPr>
      <w:r>
        <w:rPr>
          <w:rFonts w:ascii="Arial" w:eastAsia="Arial" w:hAnsi="Arial" w:cs="Arial"/>
          <w:sz w:val="22"/>
          <w:szCs w:val="22"/>
        </w:rPr>
        <w:t xml:space="preserve">The </w:t>
      </w:r>
      <w:r w:rsidR="00536292">
        <w:rPr>
          <w:rFonts w:ascii="Arial" w:eastAsia="Arial" w:hAnsi="Arial" w:cs="Arial"/>
          <w:sz w:val="22"/>
          <w:szCs w:val="22"/>
        </w:rPr>
        <w:t>W</w:t>
      </w:r>
      <w:r>
        <w:rPr>
          <w:rFonts w:ascii="Arial" w:eastAsia="Arial" w:hAnsi="Arial" w:cs="Arial"/>
          <w:sz w:val="22"/>
          <w:szCs w:val="22"/>
        </w:rPr>
        <w:t xml:space="preserve">orking </w:t>
      </w:r>
      <w:r w:rsidR="00536292">
        <w:rPr>
          <w:rFonts w:ascii="Arial" w:eastAsia="Arial" w:hAnsi="Arial" w:cs="Arial"/>
          <w:sz w:val="22"/>
          <w:szCs w:val="22"/>
        </w:rPr>
        <w:t>G</w:t>
      </w:r>
      <w:r>
        <w:rPr>
          <w:rFonts w:ascii="Arial" w:eastAsia="Arial" w:hAnsi="Arial" w:cs="Arial"/>
          <w:sz w:val="22"/>
          <w:szCs w:val="22"/>
        </w:rPr>
        <w:t xml:space="preserve">roup welcomes suggestions from the PTWS Steering Committee and Member States on ways to facilitate this and would like to encourage more </w:t>
      </w:r>
      <w:r w:rsidR="00536292">
        <w:rPr>
          <w:rFonts w:ascii="Arial" w:eastAsia="Arial" w:hAnsi="Arial" w:cs="Arial"/>
          <w:sz w:val="22"/>
          <w:szCs w:val="22"/>
        </w:rPr>
        <w:t>M</w:t>
      </w:r>
      <w:r>
        <w:rPr>
          <w:rFonts w:ascii="Arial" w:eastAsia="Arial" w:hAnsi="Arial" w:cs="Arial"/>
          <w:sz w:val="22"/>
          <w:szCs w:val="22"/>
        </w:rPr>
        <w:t xml:space="preserve">ember </w:t>
      </w:r>
      <w:r w:rsidR="00536292">
        <w:rPr>
          <w:rFonts w:ascii="Arial" w:eastAsia="Arial" w:hAnsi="Arial" w:cs="Arial"/>
          <w:sz w:val="22"/>
          <w:szCs w:val="22"/>
        </w:rPr>
        <w:t>S</w:t>
      </w:r>
      <w:r>
        <w:rPr>
          <w:rFonts w:ascii="Arial" w:eastAsia="Arial" w:hAnsi="Arial" w:cs="Arial"/>
          <w:sz w:val="22"/>
          <w:szCs w:val="22"/>
        </w:rPr>
        <w:t xml:space="preserve">tates to provide nominations to the working group, particularly from NDMOs.  </w:t>
      </w:r>
    </w:p>
    <w:p w:rsidR="00111F32" w:rsidRDefault="00000000" w:rsidP="00123AAE">
      <w:pPr>
        <w:spacing w:before="240" w:after="240" w:line="276" w:lineRule="auto"/>
        <w:rPr>
          <w:rFonts w:ascii="Arial" w:eastAsia="Arial" w:hAnsi="Arial" w:cs="Arial"/>
          <w:sz w:val="22"/>
          <w:szCs w:val="22"/>
        </w:rPr>
      </w:pPr>
      <w:r>
        <w:rPr>
          <w:rFonts w:ascii="Arial" w:eastAsia="Arial" w:hAnsi="Arial" w:cs="Arial"/>
          <w:sz w:val="22"/>
          <w:szCs w:val="22"/>
        </w:rPr>
        <w:t xml:space="preserve">The Working Group </w:t>
      </w:r>
      <w:r w:rsidR="00536292">
        <w:rPr>
          <w:rFonts w:ascii="Arial" w:eastAsia="Arial" w:hAnsi="Arial" w:cs="Arial"/>
          <w:sz w:val="22"/>
          <w:szCs w:val="22"/>
        </w:rPr>
        <w:t>also</w:t>
      </w:r>
      <w:r>
        <w:rPr>
          <w:rFonts w:ascii="Arial" w:eastAsia="Arial" w:hAnsi="Arial" w:cs="Arial"/>
          <w:sz w:val="22"/>
          <w:szCs w:val="22"/>
        </w:rPr>
        <w:t xml:space="preserve"> propose</w:t>
      </w:r>
      <w:r w:rsidR="00536292">
        <w:rPr>
          <w:rFonts w:ascii="Arial" w:eastAsia="Arial" w:hAnsi="Arial" w:cs="Arial"/>
          <w:sz w:val="22"/>
          <w:szCs w:val="22"/>
        </w:rPr>
        <w:t>s to amend</w:t>
      </w:r>
      <w:r>
        <w:rPr>
          <w:rFonts w:ascii="Arial" w:eastAsia="Arial" w:hAnsi="Arial" w:cs="Arial"/>
          <w:sz w:val="22"/>
          <w:szCs w:val="22"/>
        </w:rPr>
        <w:t xml:space="preserve"> </w:t>
      </w:r>
      <w:r w:rsidR="00536292">
        <w:rPr>
          <w:rFonts w:ascii="Arial" w:eastAsia="Arial" w:hAnsi="Arial" w:cs="Arial"/>
          <w:sz w:val="22"/>
          <w:szCs w:val="22"/>
        </w:rPr>
        <w:t xml:space="preserve">the </w:t>
      </w:r>
      <w:r>
        <w:rPr>
          <w:rFonts w:ascii="Arial" w:eastAsia="Arial" w:hAnsi="Arial" w:cs="Arial"/>
          <w:sz w:val="22"/>
          <w:szCs w:val="22"/>
        </w:rPr>
        <w:t>Terms of Reference for the Working Group</w:t>
      </w:r>
      <w:r w:rsidR="00536292">
        <w:rPr>
          <w:rFonts w:ascii="Arial" w:eastAsia="Arial" w:hAnsi="Arial" w:cs="Arial"/>
          <w:sz w:val="22"/>
          <w:szCs w:val="22"/>
        </w:rPr>
        <w:t xml:space="preserve"> </w:t>
      </w:r>
      <w:r>
        <w:rPr>
          <w:rFonts w:ascii="Arial" w:eastAsia="Arial" w:hAnsi="Arial" w:cs="Arial"/>
          <w:sz w:val="22"/>
          <w:szCs w:val="22"/>
        </w:rPr>
        <w:t xml:space="preserve">for the next intersessional period, namely: </w:t>
      </w:r>
    </w:p>
    <w:p w:rsidR="00111F32" w:rsidRDefault="00000000" w:rsidP="00123AAE">
      <w:pPr>
        <w:numPr>
          <w:ilvl w:val="0"/>
          <w:numId w:val="6"/>
        </w:numPr>
        <w:spacing w:before="240" w:line="276" w:lineRule="auto"/>
        <w:rPr>
          <w:rFonts w:ascii="Arial" w:eastAsia="Arial" w:hAnsi="Arial" w:cs="Arial"/>
          <w:sz w:val="22"/>
          <w:szCs w:val="22"/>
        </w:rPr>
      </w:pPr>
      <w:r>
        <w:rPr>
          <w:rFonts w:ascii="Arial" w:eastAsia="Arial" w:hAnsi="Arial" w:cs="Arial"/>
          <w:sz w:val="22"/>
          <w:szCs w:val="22"/>
        </w:rPr>
        <w:t xml:space="preserve">Mandating the Working Group to support the implementation of the Tsunami Ready Coalition, noting that these efforts will extend past 2030, and require global collaboration and coordination; </w:t>
      </w:r>
    </w:p>
    <w:p w:rsidR="00111F32" w:rsidRDefault="00000000" w:rsidP="00123AAE">
      <w:pPr>
        <w:numPr>
          <w:ilvl w:val="0"/>
          <w:numId w:val="6"/>
        </w:numPr>
        <w:spacing w:after="240" w:line="276" w:lineRule="auto"/>
        <w:rPr>
          <w:rFonts w:ascii="Arial" w:eastAsia="Arial" w:hAnsi="Arial" w:cs="Arial"/>
          <w:sz w:val="22"/>
          <w:szCs w:val="22"/>
        </w:rPr>
      </w:pPr>
      <w:proofErr w:type="spellStart"/>
      <w:r>
        <w:rPr>
          <w:rFonts w:ascii="Arial" w:eastAsia="Arial" w:hAnsi="Arial" w:cs="Arial"/>
          <w:sz w:val="22"/>
          <w:szCs w:val="22"/>
        </w:rPr>
        <w:t>Recognising</w:t>
      </w:r>
      <w:proofErr w:type="spellEnd"/>
      <w:r>
        <w:rPr>
          <w:rFonts w:ascii="Arial" w:eastAsia="Arial" w:hAnsi="Arial" w:cs="Arial"/>
          <w:sz w:val="22"/>
          <w:szCs w:val="22"/>
        </w:rPr>
        <w:t xml:space="preserve"> the significance of the Pacific Tsunami Preparedness Capacity assessment for the forward work </w:t>
      </w:r>
      <w:proofErr w:type="spellStart"/>
      <w:r>
        <w:rPr>
          <w:rFonts w:ascii="Arial" w:eastAsia="Arial" w:hAnsi="Arial" w:cs="Arial"/>
          <w:sz w:val="22"/>
          <w:szCs w:val="22"/>
        </w:rPr>
        <w:t>programme</w:t>
      </w:r>
      <w:proofErr w:type="spellEnd"/>
      <w:r>
        <w:rPr>
          <w:rFonts w:ascii="Arial" w:eastAsia="Arial" w:hAnsi="Arial" w:cs="Arial"/>
          <w:sz w:val="22"/>
          <w:szCs w:val="22"/>
        </w:rPr>
        <w:t xml:space="preserve"> of the PTWS, and ensuring that this contributes to the design and </w:t>
      </w:r>
      <w:proofErr w:type="spellStart"/>
      <w:r>
        <w:rPr>
          <w:rFonts w:ascii="Arial" w:eastAsia="Arial" w:hAnsi="Arial" w:cs="Arial"/>
          <w:sz w:val="22"/>
          <w:szCs w:val="22"/>
        </w:rPr>
        <w:t>prioritisation</w:t>
      </w:r>
      <w:proofErr w:type="spellEnd"/>
      <w:r>
        <w:rPr>
          <w:rFonts w:ascii="Arial" w:eastAsia="Arial" w:hAnsi="Arial" w:cs="Arial"/>
          <w:sz w:val="22"/>
          <w:szCs w:val="22"/>
        </w:rPr>
        <w:t xml:space="preserve"> of Working Group 3 activities</w:t>
      </w:r>
    </w:p>
    <w:tbl>
      <w:tblPr>
        <w:tblStyle w:val="a4"/>
        <w:tblW w:w="9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0"/>
      </w:tblGrid>
      <w:tr w:rsidR="00111F32">
        <w:tc>
          <w:tcPr>
            <w:tcW w:w="9020" w:type="dxa"/>
            <w:shd w:val="clear" w:color="auto" w:fill="auto"/>
            <w:tcMar>
              <w:top w:w="100" w:type="dxa"/>
              <w:left w:w="100" w:type="dxa"/>
              <w:bottom w:w="100" w:type="dxa"/>
              <w:right w:w="100" w:type="dxa"/>
            </w:tcMar>
          </w:tcPr>
          <w:p w:rsidR="00111F32" w:rsidRPr="000A4DF9" w:rsidRDefault="00000000" w:rsidP="000A4DF9">
            <w:pPr>
              <w:spacing w:before="120" w:after="120" w:line="278" w:lineRule="auto"/>
              <w:ind w:right="14"/>
              <w:rPr>
                <w:rFonts w:ascii="Arial" w:eastAsia="Arial" w:hAnsi="Arial" w:cs="Arial"/>
                <w:sz w:val="22"/>
                <w:szCs w:val="22"/>
              </w:rPr>
            </w:pPr>
            <w:r w:rsidRPr="000A4DF9">
              <w:rPr>
                <w:rFonts w:ascii="Arial" w:eastAsia="Arial" w:hAnsi="Arial" w:cs="Arial"/>
                <w:sz w:val="22"/>
                <w:szCs w:val="22"/>
              </w:rPr>
              <w:t xml:space="preserve">Working Group 3 </w:t>
            </w:r>
            <w:r w:rsidR="00DE48D7" w:rsidRPr="00DE48D7">
              <w:rPr>
                <w:rFonts w:ascii="Arial" w:eastAsia="Arial" w:hAnsi="Arial" w:cs="Arial"/>
                <w:sz w:val="22"/>
                <w:szCs w:val="22"/>
              </w:rPr>
              <w:t>recommendation to</w:t>
            </w:r>
            <w:r w:rsidR="00DE48D7" w:rsidRPr="000A4DF9">
              <w:rPr>
                <w:rFonts w:ascii="Arial" w:eastAsia="Arial" w:hAnsi="Arial" w:cs="Arial"/>
                <w:b/>
                <w:bCs/>
                <w:sz w:val="22"/>
                <w:szCs w:val="22"/>
              </w:rPr>
              <w:t xml:space="preserve"> </w:t>
            </w:r>
            <w:r w:rsidRPr="000A4DF9">
              <w:rPr>
                <w:rFonts w:ascii="Arial" w:eastAsia="Arial" w:hAnsi="Arial" w:cs="Arial"/>
                <w:sz w:val="22"/>
                <w:szCs w:val="22"/>
              </w:rPr>
              <w:t>the ICG/PTWS:</w:t>
            </w:r>
          </w:p>
          <w:p w:rsidR="00F47708" w:rsidRDefault="00F47708" w:rsidP="00F47708">
            <w:pPr>
              <w:spacing w:before="120" w:after="120" w:line="278" w:lineRule="auto"/>
              <w:ind w:right="14"/>
              <w:rPr>
                <w:rFonts w:ascii="Arial" w:eastAsia="Arial" w:hAnsi="Arial" w:cs="Arial"/>
                <w:sz w:val="22"/>
                <w:szCs w:val="22"/>
              </w:rPr>
            </w:pPr>
            <w:r>
              <w:rPr>
                <w:rFonts w:ascii="Arial" w:eastAsia="Arial" w:hAnsi="Arial" w:cs="Arial"/>
                <w:b/>
                <w:bCs/>
                <w:sz w:val="22"/>
                <w:szCs w:val="22"/>
              </w:rPr>
              <w:t xml:space="preserve">Recalling </w:t>
            </w:r>
            <w:r>
              <w:rPr>
                <w:rFonts w:ascii="Arial" w:eastAsia="Arial" w:hAnsi="Arial" w:cs="Arial"/>
                <w:sz w:val="22"/>
                <w:szCs w:val="22"/>
              </w:rPr>
              <w:t xml:space="preserve">that nearly 70% of the world's historical tsunamis have occurred in the Pacific, with 99% of the tsunami deaths from local and regional tsunamis, thus making tsunami community preparedness, such as through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like Tsunami Ready, a high-priority action for saving lives,</w:t>
            </w:r>
          </w:p>
          <w:p w:rsidR="00111F32" w:rsidRPr="000A4DF9" w:rsidRDefault="00000000" w:rsidP="000A4DF9">
            <w:pPr>
              <w:spacing w:before="120" w:after="120" w:line="278" w:lineRule="auto"/>
              <w:ind w:right="14"/>
              <w:rPr>
                <w:rFonts w:ascii="Arial" w:eastAsia="Arial" w:hAnsi="Arial" w:cs="Arial"/>
                <w:b/>
                <w:bCs/>
                <w:sz w:val="22"/>
                <w:szCs w:val="22"/>
              </w:rPr>
            </w:pPr>
            <w:r w:rsidRPr="000A4DF9">
              <w:rPr>
                <w:rFonts w:ascii="Arial" w:eastAsia="Arial" w:hAnsi="Arial" w:cs="Arial"/>
                <w:b/>
                <w:bCs/>
                <w:sz w:val="22"/>
                <w:szCs w:val="22"/>
              </w:rPr>
              <w:t xml:space="preserve">Notes </w:t>
            </w:r>
            <w:r w:rsidRPr="000A4DF9">
              <w:rPr>
                <w:rFonts w:ascii="Arial" w:eastAsia="Arial" w:hAnsi="Arial" w:cs="Arial"/>
                <w:sz w:val="22"/>
                <w:szCs w:val="22"/>
              </w:rPr>
              <w:t>the report of Working Group 3 (Disaster Management &amp; Preparedness)</w:t>
            </w:r>
          </w:p>
          <w:p w:rsidR="00111F32" w:rsidRPr="000A4DF9" w:rsidRDefault="00000000" w:rsidP="000A4DF9">
            <w:pPr>
              <w:spacing w:before="120" w:after="120" w:line="278" w:lineRule="auto"/>
              <w:ind w:right="14"/>
              <w:rPr>
                <w:rFonts w:ascii="Arial" w:eastAsia="Arial" w:hAnsi="Arial" w:cs="Arial"/>
                <w:b/>
                <w:bCs/>
                <w:sz w:val="22"/>
                <w:szCs w:val="22"/>
              </w:rPr>
            </w:pPr>
            <w:r w:rsidRPr="000A4DF9">
              <w:rPr>
                <w:rFonts w:ascii="Arial" w:eastAsia="Arial" w:hAnsi="Arial" w:cs="Arial"/>
                <w:b/>
                <w:bCs/>
                <w:sz w:val="22"/>
                <w:szCs w:val="22"/>
              </w:rPr>
              <w:t>Notes t</w:t>
            </w:r>
            <w:r w:rsidRPr="000A4DF9">
              <w:rPr>
                <w:rFonts w:ascii="Arial" w:eastAsia="Arial" w:hAnsi="Arial" w:cs="Arial"/>
                <w:sz w:val="22"/>
                <w:szCs w:val="22"/>
              </w:rPr>
              <w:t>he importance of encouraging more NDMO participation and involvement in PTWS discussions and governance mechanisms, especially given the nature of the UN Ocean Decade Goals and their connection with disaster management and preparedness.</w:t>
            </w:r>
          </w:p>
          <w:p w:rsidR="001444F4" w:rsidRPr="00A90491" w:rsidRDefault="001444F4" w:rsidP="001444F4">
            <w:pPr>
              <w:spacing w:before="120" w:after="120" w:line="278" w:lineRule="auto"/>
              <w:ind w:right="14"/>
              <w:rPr>
                <w:rFonts w:ascii="Arial" w:eastAsia="Arial" w:hAnsi="Arial" w:cs="Arial"/>
                <w:b/>
                <w:bCs/>
                <w:sz w:val="22"/>
                <w:szCs w:val="22"/>
              </w:rPr>
            </w:pPr>
            <w:r w:rsidRPr="000A4DF9">
              <w:rPr>
                <w:rFonts w:ascii="Arial" w:eastAsia="Arial" w:hAnsi="Arial" w:cs="Arial"/>
                <w:b/>
                <w:bCs/>
                <w:sz w:val="22"/>
                <w:szCs w:val="22"/>
              </w:rPr>
              <w:t xml:space="preserve">Notes </w:t>
            </w:r>
            <w:r w:rsidRPr="000A4DF9">
              <w:rPr>
                <w:rFonts w:ascii="Arial" w:eastAsia="Arial" w:hAnsi="Arial" w:cs="Arial"/>
                <w:sz w:val="22"/>
                <w:szCs w:val="22"/>
              </w:rPr>
              <w:t xml:space="preserve">the </w:t>
            </w:r>
            <w:r>
              <w:rPr>
                <w:rFonts w:ascii="Arial" w:eastAsia="Arial" w:hAnsi="Arial" w:cs="Arial"/>
                <w:sz w:val="22"/>
                <w:szCs w:val="22"/>
              </w:rPr>
              <w:t>approval of the Tsunami Ready Coalition Implementation Plan by the TOWS-XVII WG, towards realizing and sustaining tsunami readiness through targeted promotion, advocacy, resource mobilization, networking, influence, and advice</w:t>
            </w:r>
          </w:p>
          <w:p w:rsidR="006E7F63" w:rsidRDefault="006E7F63" w:rsidP="006E7F63">
            <w:pPr>
              <w:spacing w:before="120" w:after="120" w:line="278" w:lineRule="auto"/>
              <w:ind w:right="14"/>
              <w:rPr>
                <w:rFonts w:ascii="Arial" w:eastAsia="Arial" w:hAnsi="Arial" w:cs="Arial"/>
                <w:sz w:val="22"/>
                <w:szCs w:val="22"/>
              </w:rPr>
            </w:pPr>
            <w:r w:rsidRPr="000A4DF9">
              <w:rPr>
                <w:rFonts w:ascii="Arial" w:eastAsia="Arial" w:hAnsi="Arial" w:cs="Arial"/>
                <w:b/>
                <w:bCs/>
                <w:sz w:val="22"/>
                <w:szCs w:val="22"/>
              </w:rPr>
              <w:t xml:space="preserve">Notes </w:t>
            </w:r>
            <w:r w:rsidRPr="000A4DF9">
              <w:rPr>
                <w:rFonts w:ascii="Arial" w:eastAsia="Arial" w:hAnsi="Arial" w:cs="Arial"/>
                <w:sz w:val="22"/>
                <w:szCs w:val="22"/>
              </w:rPr>
              <w:t xml:space="preserve">the importance of </w:t>
            </w:r>
            <w:proofErr w:type="spellStart"/>
            <w:r w:rsidRPr="000A4DF9">
              <w:rPr>
                <w:rFonts w:ascii="Arial" w:eastAsia="Arial" w:hAnsi="Arial" w:cs="Arial"/>
                <w:sz w:val="22"/>
                <w:szCs w:val="22"/>
              </w:rPr>
              <w:t>PacWave</w:t>
            </w:r>
            <w:proofErr w:type="spellEnd"/>
            <w:r w:rsidRPr="000A4DF9">
              <w:rPr>
                <w:rFonts w:ascii="Arial" w:eastAsia="Arial" w:hAnsi="Arial" w:cs="Arial"/>
                <w:sz w:val="22"/>
                <w:szCs w:val="22"/>
              </w:rPr>
              <w:t xml:space="preserve"> exercises with regard toward improving disaster management and preparedness, and in particular the ongoing effort to involve NDMOs</w:t>
            </w:r>
            <w:r>
              <w:rPr>
                <w:rFonts w:ascii="Arial" w:eastAsia="Arial" w:hAnsi="Arial" w:cs="Arial"/>
                <w:sz w:val="22"/>
                <w:szCs w:val="22"/>
              </w:rPr>
              <w:t xml:space="preserve"> to prepare and respond</w:t>
            </w:r>
            <w:r w:rsidRPr="000A4DF9">
              <w:rPr>
                <w:rFonts w:ascii="Arial" w:eastAsia="Arial" w:hAnsi="Arial" w:cs="Arial"/>
                <w:sz w:val="22"/>
                <w:szCs w:val="22"/>
              </w:rPr>
              <w:t>.</w:t>
            </w:r>
            <w:r>
              <w:rPr>
                <w:rFonts w:ascii="Arial" w:eastAsia="Arial" w:hAnsi="Arial" w:cs="Arial"/>
                <w:sz w:val="22"/>
                <w:szCs w:val="22"/>
              </w:rPr>
              <w:t xml:space="preserve">  </w:t>
            </w:r>
          </w:p>
          <w:p w:rsidR="001444F4" w:rsidRDefault="001444F4" w:rsidP="001444F4">
            <w:pPr>
              <w:spacing w:before="120" w:after="120" w:line="278" w:lineRule="auto"/>
              <w:ind w:right="14"/>
              <w:rPr>
                <w:rFonts w:ascii="Arial" w:eastAsia="Arial" w:hAnsi="Arial" w:cs="Arial"/>
                <w:sz w:val="22"/>
                <w:szCs w:val="22"/>
              </w:rPr>
            </w:pPr>
            <w:r w:rsidRPr="000A4DF9">
              <w:rPr>
                <w:rFonts w:ascii="Arial" w:eastAsia="Arial" w:hAnsi="Arial" w:cs="Arial"/>
                <w:b/>
                <w:bCs/>
                <w:sz w:val="22"/>
                <w:szCs w:val="22"/>
              </w:rPr>
              <w:t>Requests</w:t>
            </w:r>
            <w:r w:rsidRPr="00001FB0">
              <w:rPr>
                <w:rFonts w:ascii="Arial" w:eastAsia="Arial" w:hAnsi="Arial" w:cs="Arial"/>
                <w:sz w:val="22"/>
                <w:szCs w:val="22"/>
              </w:rPr>
              <w:t xml:space="preserve"> Working Group 3 </w:t>
            </w:r>
            <w:r>
              <w:rPr>
                <w:rFonts w:ascii="Arial" w:eastAsia="Arial" w:hAnsi="Arial" w:cs="Arial"/>
                <w:sz w:val="22"/>
                <w:szCs w:val="22"/>
              </w:rPr>
              <w:t xml:space="preserve">to actively support the </w:t>
            </w:r>
            <w:r>
              <w:rPr>
                <w:rFonts w:ascii="Arial" w:eastAsia="Arial" w:hAnsi="Arial" w:cs="Arial"/>
                <w:color w:val="000000" w:themeColor="text1"/>
                <w:sz w:val="22"/>
                <w:szCs w:val="22"/>
              </w:rPr>
              <w:t>im</w:t>
            </w:r>
            <w:r w:rsidRPr="00A90491">
              <w:rPr>
                <w:rFonts w:ascii="Arial" w:eastAsia="Arial" w:hAnsi="Arial" w:cs="Arial"/>
                <w:color w:val="000000" w:themeColor="text1"/>
                <w:sz w:val="22"/>
                <w:szCs w:val="22"/>
              </w:rPr>
              <w:t>plementation activities of the Tsunami Ready Coalition</w:t>
            </w:r>
          </w:p>
          <w:p w:rsidR="00BA01AC" w:rsidRPr="000A4DF9" w:rsidRDefault="00BA01AC" w:rsidP="000A4DF9">
            <w:pPr>
              <w:spacing w:before="120" w:after="120" w:line="278" w:lineRule="auto"/>
              <w:ind w:right="14"/>
              <w:rPr>
                <w:rFonts w:ascii="Arial" w:eastAsia="Arial" w:hAnsi="Arial" w:cs="Arial"/>
                <w:b/>
                <w:bCs/>
                <w:sz w:val="22"/>
                <w:szCs w:val="22"/>
              </w:rPr>
            </w:pPr>
            <w:r w:rsidRPr="000A4DF9">
              <w:rPr>
                <w:rFonts w:ascii="Arial" w:eastAsia="Arial" w:hAnsi="Arial" w:cs="Arial"/>
                <w:b/>
                <w:bCs/>
                <w:sz w:val="22"/>
                <w:szCs w:val="22"/>
              </w:rPr>
              <w:t xml:space="preserve">Requests </w:t>
            </w:r>
            <w:r w:rsidRPr="000A4DF9">
              <w:rPr>
                <w:rFonts w:ascii="Arial" w:eastAsia="Arial" w:hAnsi="Arial" w:cs="Arial"/>
                <w:sz w:val="22"/>
                <w:szCs w:val="22"/>
              </w:rPr>
              <w:t xml:space="preserve">the </w:t>
            </w:r>
            <w:r w:rsidR="001444F4">
              <w:rPr>
                <w:rFonts w:ascii="Arial" w:eastAsia="Arial" w:hAnsi="Arial" w:cs="Arial"/>
                <w:sz w:val="22"/>
                <w:szCs w:val="22"/>
              </w:rPr>
              <w:t>Working Group</w:t>
            </w:r>
            <w:r w:rsidRPr="000A4DF9">
              <w:rPr>
                <w:rFonts w:ascii="Arial" w:eastAsia="Arial" w:hAnsi="Arial" w:cs="Arial"/>
                <w:sz w:val="22"/>
                <w:szCs w:val="22"/>
              </w:rPr>
              <w:t xml:space="preserve"> 3 to address key future governance and Tsunami Ready implementation questions as identified by the TOWS-WG-XVII Task Team on Disaster Management and Preparedness, for sharing to the TOWS WG.</w:t>
            </w:r>
          </w:p>
          <w:p w:rsidR="00E764D9" w:rsidRDefault="00E764D9" w:rsidP="00E764D9">
            <w:pPr>
              <w:spacing w:before="120" w:after="120" w:line="278" w:lineRule="auto"/>
              <w:ind w:right="14"/>
              <w:rPr>
                <w:rFonts w:ascii="Arial" w:eastAsia="Arial" w:hAnsi="Arial" w:cs="Arial"/>
                <w:sz w:val="22"/>
                <w:szCs w:val="22"/>
              </w:rPr>
            </w:pPr>
            <w:r w:rsidRPr="000A4DF9">
              <w:rPr>
                <w:rFonts w:ascii="Arial" w:eastAsia="Arial" w:hAnsi="Arial" w:cs="Arial"/>
                <w:b/>
                <w:bCs/>
                <w:sz w:val="22"/>
                <w:szCs w:val="22"/>
              </w:rPr>
              <w:t xml:space="preserve">Requests </w:t>
            </w:r>
            <w:r w:rsidRPr="000A4DF9">
              <w:rPr>
                <w:rFonts w:ascii="Arial" w:eastAsia="Arial" w:hAnsi="Arial" w:cs="Arial"/>
                <w:sz w:val="22"/>
                <w:szCs w:val="22"/>
              </w:rPr>
              <w:t xml:space="preserve">that Working Group 3 </w:t>
            </w:r>
            <w:r>
              <w:rPr>
                <w:rFonts w:ascii="Arial" w:eastAsia="Arial" w:hAnsi="Arial" w:cs="Arial"/>
                <w:sz w:val="22"/>
                <w:szCs w:val="22"/>
              </w:rPr>
              <w:t xml:space="preserve">and the ITIC </w:t>
            </w:r>
            <w:r w:rsidRPr="000A4DF9">
              <w:rPr>
                <w:rFonts w:ascii="Arial" w:eastAsia="Arial" w:hAnsi="Arial" w:cs="Arial"/>
                <w:sz w:val="22"/>
                <w:szCs w:val="22"/>
              </w:rPr>
              <w:t>continue to explore mechanisms with the Secretariat for Member States to share materials, in order to better facilitate the collection and accessibility of best practice resources on disaster management and preparedness topics</w:t>
            </w:r>
            <w:r>
              <w:rPr>
                <w:rFonts w:ascii="Arial" w:eastAsia="Arial" w:hAnsi="Arial" w:cs="Arial"/>
                <w:sz w:val="22"/>
                <w:szCs w:val="22"/>
              </w:rPr>
              <w:t>.</w:t>
            </w:r>
          </w:p>
          <w:p w:rsidR="00E764D9" w:rsidRDefault="00E764D9" w:rsidP="00E764D9">
            <w:pPr>
              <w:spacing w:before="120" w:after="120" w:line="278" w:lineRule="auto"/>
              <w:ind w:right="14"/>
              <w:rPr>
                <w:rFonts w:ascii="Arial" w:eastAsia="Arial" w:hAnsi="Arial" w:cs="Arial"/>
                <w:sz w:val="22"/>
                <w:szCs w:val="22"/>
              </w:rPr>
            </w:pPr>
            <w:r>
              <w:rPr>
                <w:rFonts w:ascii="Arial" w:eastAsia="Arial" w:hAnsi="Arial" w:cs="Arial"/>
                <w:b/>
                <w:bCs/>
                <w:sz w:val="22"/>
                <w:szCs w:val="22"/>
              </w:rPr>
              <w:lastRenderedPageBreak/>
              <w:t>Welcomes</w:t>
            </w:r>
            <w:r>
              <w:rPr>
                <w:rFonts w:ascii="Arial" w:eastAsia="Arial" w:hAnsi="Arial" w:cs="Arial"/>
                <w:sz w:val="22"/>
                <w:szCs w:val="22"/>
              </w:rPr>
              <w:t xml:space="preserve"> the ITIC offer to host an interim </w:t>
            </w:r>
            <w:r w:rsidRPr="00514C73">
              <w:rPr>
                <w:rFonts w:ascii="Arial" w:eastAsia="Arial" w:hAnsi="Arial" w:cs="Arial"/>
                <w:sz w:val="22"/>
                <w:szCs w:val="22"/>
              </w:rPr>
              <w:t>repository</w:t>
            </w:r>
            <w:r>
              <w:rPr>
                <w:rFonts w:ascii="Arial" w:eastAsia="Arial" w:hAnsi="Arial" w:cs="Arial"/>
                <w:sz w:val="22"/>
                <w:szCs w:val="22"/>
              </w:rPr>
              <w:t xml:space="preserve">, and </w:t>
            </w:r>
            <w:r w:rsidRPr="00514C73">
              <w:rPr>
                <w:rFonts w:ascii="Arial" w:eastAsia="Arial" w:hAnsi="Arial" w:cs="Arial"/>
                <w:b/>
                <w:bCs/>
                <w:sz w:val="22"/>
                <w:szCs w:val="22"/>
              </w:rPr>
              <w:t>requests</w:t>
            </w:r>
            <w:r>
              <w:rPr>
                <w:rFonts w:ascii="Arial" w:eastAsia="Arial" w:hAnsi="Arial" w:cs="Arial"/>
                <w:sz w:val="22"/>
                <w:szCs w:val="22"/>
              </w:rPr>
              <w:t xml:space="preserve"> </w:t>
            </w:r>
            <w:r w:rsidRPr="00514C73">
              <w:rPr>
                <w:rFonts w:ascii="Arial" w:eastAsia="Arial" w:hAnsi="Arial" w:cs="Arial"/>
                <w:sz w:val="22"/>
                <w:szCs w:val="22"/>
              </w:rPr>
              <w:t>PTWS Member States to share their best practice awareness and preparedness material, programs and assessment tools with the ITIC to compi</w:t>
            </w:r>
            <w:r>
              <w:rPr>
                <w:rFonts w:ascii="Arial" w:eastAsia="Arial" w:hAnsi="Arial" w:cs="Arial"/>
                <w:sz w:val="22"/>
                <w:szCs w:val="22"/>
              </w:rPr>
              <w:t>le and maintain for the PTWS.</w:t>
            </w:r>
          </w:p>
          <w:p w:rsidR="00DE47E3" w:rsidRDefault="00DE47E3" w:rsidP="00E764D9">
            <w:pPr>
              <w:spacing w:before="120" w:after="120" w:line="278" w:lineRule="auto"/>
              <w:ind w:right="14"/>
              <w:rPr>
                <w:rFonts w:ascii="Arial" w:eastAsia="Arial" w:hAnsi="Arial" w:cs="Arial"/>
                <w:sz w:val="22"/>
                <w:szCs w:val="22"/>
              </w:rPr>
            </w:pPr>
            <w:r w:rsidRPr="000A4DF9">
              <w:rPr>
                <w:rFonts w:ascii="Arial" w:eastAsia="Arial" w:hAnsi="Arial" w:cs="Arial"/>
                <w:b/>
                <w:bCs/>
                <w:sz w:val="22"/>
                <w:szCs w:val="22"/>
              </w:rPr>
              <w:t>Appreciates</w:t>
            </w:r>
            <w:r>
              <w:rPr>
                <w:rFonts w:ascii="Arial" w:eastAsia="Arial" w:hAnsi="Arial" w:cs="Arial"/>
                <w:b/>
                <w:bCs/>
                <w:sz w:val="22"/>
                <w:szCs w:val="22"/>
              </w:rPr>
              <w:t xml:space="preserve"> and thanks</w:t>
            </w:r>
            <w:r w:rsidRPr="000A4DF9">
              <w:rPr>
                <w:rFonts w:ascii="Arial" w:eastAsia="Arial" w:hAnsi="Arial" w:cs="Arial"/>
                <w:b/>
                <w:bCs/>
                <w:sz w:val="22"/>
                <w:szCs w:val="22"/>
              </w:rPr>
              <w:t xml:space="preserve"> </w:t>
            </w:r>
            <w:r w:rsidRPr="000A4DF9">
              <w:rPr>
                <w:rFonts w:ascii="Arial" w:eastAsia="Arial" w:hAnsi="Arial" w:cs="Arial"/>
                <w:sz w:val="22"/>
                <w:szCs w:val="22"/>
              </w:rPr>
              <w:t>the ongoing significant effort and leadership provided by the ITIC for tsunami preparedness in the Pacific, including through SOP</w:t>
            </w:r>
            <w:r>
              <w:rPr>
                <w:rFonts w:ascii="Arial" w:eastAsia="Arial" w:hAnsi="Arial" w:cs="Arial"/>
                <w:sz w:val="22"/>
                <w:szCs w:val="22"/>
              </w:rPr>
              <w:t xml:space="preserve"> </w:t>
            </w:r>
            <w:r w:rsidRPr="000A4DF9">
              <w:rPr>
                <w:rFonts w:ascii="Arial" w:eastAsia="Arial" w:hAnsi="Arial" w:cs="Arial"/>
                <w:sz w:val="22"/>
                <w:szCs w:val="22"/>
              </w:rPr>
              <w:t xml:space="preserve">training, </w:t>
            </w:r>
            <w:r>
              <w:rPr>
                <w:rFonts w:ascii="Arial" w:eastAsia="Arial" w:hAnsi="Arial" w:cs="Arial"/>
                <w:sz w:val="22"/>
                <w:szCs w:val="22"/>
              </w:rPr>
              <w:t xml:space="preserve">online training under the </w:t>
            </w:r>
            <w:proofErr w:type="spellStart"/>
            <w:r>
              <w:rPr>
                <w:rFonts w:ascii="Arial" w:eastAsia="Arial" w:hAnsi="Arial" w:cs="Arial"/>
                <w:sz w:val="22"/>
                <w:szCs w:val="22"/>
              </w:rPr>
              <w:t>OceanTeacher</w:t>
            </w:r>
            <w:proofErr w:type="spellEnd"/>
            <w:r>
              <w:rPr>
                <w:rFonts w:ascii="Arial" w:eastAsia="Arial" w:hAnsi="Arial" w:cs="Arial"/>
                <w:sz w:val="22"/>
                <w:szCs w:val="22"/>
              </w:rPr>
              <w:t xml:space="preserve"> Global Academy, </w:t>
            </w:r>
            <w:r w:rsidRPr="000A4DF9">
              <w:rPr>
                <w:rFonts w:ascii="Arial" w:eastAsia="Arial" w:hAnsi="Arial" w:cs="Arial"/>
                <w:sz w:val="22"/>
                <w:szCs w:val="22"/>
              </w:rPr>
              <w:t xml:space="preserve">and </w:t>
            </w:r>
            <w:r>
              <w:rPr>
                <w:rFonts w:ascii="Arial" w:eastAsia="Arial" w:hAnsi="Arial" w:cs="Arial"/>
                <w:sz w:val="22"/>
                <w:szCs w:val="22"/>
              </w:rPr>
              <w:t xml:space="preserve">creation and distribution </w:t>
            </w:r>
            <w:r w:rsidRPr="000A4DF9">
              <w:rPr>
                <w:rFonts w:ascii="Arial" w:eastAsia="Arial" w:hAnsi="Arial" w:cs="Arial"/>
                <w:sz w:val="22"/>
                <w:szCs w:val="22"/>
              </w:rPr>
              <w:t>awareness products.</w:t>
            </w:r>
            <w:r>
              <w:rPr>
                <w:rFonts w:ascii="Arial" w:eastAsia="Arial" w:hAnsi="Arial" w:cs="Arial"/>
                <w:sz w:val="22"/>
                <w:szCs w:val="22"/>
              </w:rPr>
              <w:t xml:space="preserve"> </w:t>
            </w:r>
          </w:p>
          <w:p w:rsidR="00111F32" w:rsidRPr="000A4DF9" w:rsidRDefault="00000000" w:rsidP="006E7F63">
            <w:pPr>
              <w:spacing w:before="120" w:after="120" w:line="278" w:lineRule="auto"/>
              <w:ind w:right="14"/>
              <w:rPr>
                <w:rFonts w:ascii="Arial" w:eastAsia="Arial" w:hAnsi="Arial" w:cs="Arial"/>
                <w:b/>
                <w:bCs/>
                <w:sz w:val="22"/>
                <w:szCs w:val="22"/>
              </w:rPr>
            </w:pPr>
            <w:r w:rsidRPr="000A4DF9">
              <w:rPr>
                <w:rFonts w:ascii="Arial" w:eastAsia="Arial" w:hAnsi="Arial" w:cs="Arial"/>
                <w:b/>
                <w:bCs/>
                <w:sz w:val="22"/>
                <w:szCs w:val="22"/>
              </w:rPr>
              <w:t xml:space="preserve">Encourages </w:t>
            </w:r>
            <w:r w:rsidRPr="000A4DF9">
              <w:rPr>
                <w:rFonts w:ascii="Arial" w:eastAsia="Arial" w:hAnsi="Arial" w:cs="Arial"/>
                <w:sz w:val="22"/>
                <w:szCs w:val="22"/>
              </w:rPr>
              <w:t xml:space="preserve">Member States to provide nominated representatives, particularly from national disaster management </w:t>
            </w:r>
            <w:proofErr w:type="spellStart"/>
            <w:r w:rsidRPr="000A4DF9">
              <w:rPr>
                <w:rFonts w:ascii="Arial" w:eastAsia="Arial" w:hAnsi="Arial" w:cs="Arial"/>
                <w:sz w:val="22"/>
                <w:szCs w:val="22"/>
              </w:rPr>
              <w:t>organisations</w:t>
            </w:r>
            <w:proofErr w:type="spellEnd"/>
            <w:r w:rsidRPr="000A4DF9">
              <w:rPr>
                <w:rFonts w:ascii="Arial" w:eastAsia="Arial" w:hAnsi="Arial" w:cs="Arial"/>
                <w:sz w:val="22"/>
                <w:szCs w:val="22"/>
              </w:rPr>
              <w:t xml:space="preserve">, to Working Group 3 Disaster Management and Preparedness to support an active work </w:t>
            </w:r>
            <w:proofErr w:type="spellStart"/>
            <w:r w:rsidRPr="000A4DF9">
              <w:rPr>
                <w:rFonts w:ascii="Arial" w:eastAsia="Arial" w:hAnsi="Arial" w:cs="Arial"/>
                <w:sz w:val="22"/>
                <w:szCs w:val="22"/>
              </w:rPr>
              <w:t>programme</w:t>
            </w:r>
            <w:proofErr w:type="spellEnd"/>
            <w:r w:rsidRPr="000A4DF9">
              <w:rPr>
                <w:rFonts w:ascii="Arial" w:eastAsia="Arial" w:hAnsi="Arial" w:cs="Arial"/>
                <w:sz w:val="22"/>
                <w:szCs w:val="22"/>
              </w:rPr>
              <w:t xml:space="preserve"> for this working group</w:t>
            </w:r>
          </w:p>
          <w:p w:rsidR="00111F32" w:rsidRDefault="00000000" w:rsidP="000A4DF9">
            <w:pPr>
              <w:spacing w:before="120" w:after="120" w:line="278" w:lineRule="auto"/>
              <w:ind w:right="14"/>
              <w:rPr>
                <w:rFonts w:ascii="Arial" w:eastAsia="Arial" w:hAnsi="Arial" w:cs="Arial"/>
                <w:sz w:val="22"/>
                <w:szCs w:val="22"/>
              </w:rPr>
            </w:pPr>
            <w:r w:rsidRPr="000A4DF9">
              <w:rPr>
                <w:rFonts w:ascii="Arial" w:eastAsia="Arial" w:hAnsi="Arial" w:cs="Arial"/>
                <w:b/>
                <w:bCs/>
                <w:sz w:val="22"/>
                <w:szCs w:val="22"/>
              </w:rPr>
              <w:t xml:space="preserve">Continues </w:t>
            </w:r>
            <w:r w:rsidRPr="000A4DF9">
              <w:rPr>
                <w:rFonts w:ascii="Arial" w:eastAsia="Arial" w:hAnsi="Arial" w:cs="Arial"/>
                <w:sz w:val="22"/>
                <w:szCs w:val="22"/>
              </w:rPr>
              <w:t>Working Group 3 to facilitate the coordination of efforts relating to Disaster Risk Management and Preparedness within the ICG/PTWS with revised Terms of Reference:</w:t>
            </w:r>
          </w:p>
          <w:p w:rsidR="001444F4" w:rsidRDefault="001444F4" w:rsidP="000A4DF9">
            <w:pPr>
              <w:spacing w:before="120" w:after="120" w:line="278" w:lineRule="auto"/>
              <w:ind w:right="14"/>
              <w:rPr>
                <w:rFonts w:ascii="Arial" w:eastAsia="Arial" w:hAnsi="Arial" w:cs="Arial"/>
                <w:sz w:val="22"/>
                <w:szCs w:val="22"/>
              </w:rPr>
            </w:pPr>
          </w:p>
          <w:p w:rsidR="00111F32" w:rsidRDefault="00000000">
            <w:pPr>
              <w:spacing w:before="240" w:after="240" w:line="276" w:lineRule="auto"/>
              <w:jc w:val="both"/>
              <w:rPr>
                <w:rFonts w:ascii="Arial" w:eastAsia="Arial" w:hAnsi="Arial" w:cs="Arial"/>
                <w:b/>
                <w:sz w:val="22"/>
                <w:szCs w:val="22"/>
              </w:rPr>
            </w:pPr>
            <w:r>
              <w:rPr>
                <w:rFonts w:ascii="Arial" w:eastAsia="Arial" w:hAnsi="Arial" w:cs="Arial"/>
                <w:b/>
                <w:sz w:val="22"/>
                <w:szCs w:val="22"/>
              </w:rPr>
              <w:t>Working Group on Disaster Risk Management and Preparedness Terms of Reference</w:t>
            </w:r>
          </w:p>
          <w:p w:rsidR="00111F32" w:rsidRPr="000A4DF9" w:rsidRDefault="00000000">
            <w:pPr>
              <w:numPr>
                <w:ilvl w:val="0"/>
                <w:numId w:val="1"/>
              </w:numPr>
              <w:spacing w:before="240" w:after="240" w:line="259" w:lineRule="auto"/>
              <w:rPr>
                <w:rFonts w:ascii="Arial" w:eastAsia="Arial" w:hAnsi="Arial" w:cs="Arial"/>
                <w:sz w:val="22"/>
                <w:szCs w:val="22"/>
              </w:rPr>
            </w:pPr>
            <w:bookmarkStart w:id="1" w:name="_8g2cjc4g0qz" w:colFirst="0" w:colLast="0"/>
            <w:bookmarkEnd w:id="1"/>
            <w:r w:rsidRPr="000A4DF9">
              <w:rPr>
                <w:rFonts w:ascii="Arial" w:eastAsia="Arial" w:hAnsi="Arial" w:cs="Arial"/>
                <w:sz w:val="22"/>
                <w:szCs w:val="22"/>
              </w:rPr>
              <w:t xml:space="preserve">In collaboration with TOWS TT DMP, and </w:t>
            </w:r>
            <w:proofErr w:type="spellStart"/>
            <w:r w:rsidRPr="000A4DF9">
              <w:rPr>
                <w:rFonts w:ascii="Arial" w:eastAsia="Arial" w:hAnsi="Arial" w:cs="Arial"/>
                <w:sz w:val="22"/>
                <w:szCs w:val="22"/>
              </w:rPr>
              <w:t>organisations</w:t>
            </w:r>
            <w:proofErr w:type="spellEnd"/>
            <w:r w:rsidRPr="000A4DF9">
              <w:rPr>
                <w:rFonts w:ascii="Arial" w:eastAsia="Arial" w:hAnsi="Arial" w:cs="Arial"/>
                <w:sz w:val="22"/>
                <w:szCs w:val="22"/>
              </w:rPr>
              <w:t xml:space="preserve"> such as UNDRR, support the exchange of experiences and information on risk reduction and preparedness actions, and matters related to disaster management </w:t>
            </w:r>
          </w:p>
          <w:p w:rsidR="00111F32" w:rsidRDefault="00000000">
            <w:pPr>
              <w:numPr>
                <w:ilvl w:val="0"/>
                <w:numId w:val="1"/>
              </w:numPr>
              <w:spacing w:before="240" w:after="240" w:line="259" w:lineRule="auto"/>
              <w:rPr>
                <w:rFonts w:ascii="Arial" w:eastAsia="Arial" w:hAnsi="Arial" w:cs="Arial"/>
                <w:color w:val="FF0000"/>
                <w:sz w:val="22"/>
                <w:szCs w:val="22"/>
              </w:rPr>
            </w:pPr>
            <w:bookmarkStart w:id="2" w:name="_rld7bprb5hbl" w:colFirst="0" w:colLast="0"/>
            <w:bookmarkEnd w:id="2"/>
            <w:r>
              <w:rPr>
                <w:rFonts w:ascii="Arial" w:eastAsia="Arial" w:hAnsi="Arial" w:cs="Arial"/>
                <w:color w:val="FF0000"/>
                <w:sz w:val="22"/>
                <w:szCs w:val="22"/>
              </w:rPr>
              <w:t>Support the implementation activities of the Tsunami Ready Coalition</w:t>
            </w:r>
          </w:p>
          <w:p w:rsidR="00111F32" w:rsidRDefault="00000000">
            <w:pPr>
              <w:numPr>
                <w:ilvl w:val="0"/>
                <w:numId w:val="1"/>
              </w:numPr>
              <w:spacing w:before="240" w:after="240" w:line="259" w:lineRule="auto"/>
              <w:rPr>
                <w:rFonts w:ascii="Arial" w:eastAsia="Arial" w:hAnsi="Arial" w:cs="Arial"/>
                <w:sz w:val="22"/>
                <w:szCs w:val="22"/>
              </w:rPr>
            </w:pPr>
            <w:r>
              <w:rPr>
                <w:rFonts w:ascii="Arial" w:eastAsia="Arial" w:hAnsi="Arial" w:cs="Arial"/>
                <w:sz w:val="22"/>
                <w:szCs w:val="22"/>
              </w:rPr>
              <w:t>Promote preparedness in coastal communities through education and awareness products and campaigns.</w:t>
            </w:r>
          </w:p>
          <w:p w:rsidR="00111F32" w:rsidRDefault="00000000">
            <w:pPr>
              <w:numPr>
                <w:ilvl w:val="0"/>
                <w:numId w:val="1"/>
              </w:numPr>
              <w:spacing w:before="240" w:after="240" w:line="259" w:lineRule="auto"/>
              <w:rPr>
                <w:rFonts w:ascii="Arial" w:eastAsia="Arial" w:hAnsi="Arial" w:cs="Arial"/>
                <w:sz w:val="22"/>
                <w:szCs w:val="22"/>
              </w:rPr>
            </w:pPr>
            <w:r>
              <w:rPr>
                <w:rFonts w:ascii="Arial" w:eastAsia="Arial" w:hAnsi="Arial" w:cs="Arial"/>
                <w:sz w:val="22"/>
                <w:szCs w:val="22"/>
              </w:rPr>
              <w:t>Facilitate SOP training across regions to strengthen emergency response capabilities of Member States and their DMOs.</w:t>
            </w:r>
          </w:p>
          <w:p w:rsidR="00111F32" w:rsidRDefault="00000000">
            <w:pPr>
              <w:numPr>
                <w:ilvl w:val="0"/>
                <w:numId w:val="1"/>
              </w:numPr>
              <w:spacing w:before="240" w:after="240" w:line="259" w:lineRule="auto"/>
              <w:rPr>
                <w:rFonts w:ascii="Arial" w:eastAsia="Arial" w:hAnsi="Arial" w:cs="Arial"/>
                <w:sz w:val="22"/>
                <w:szCs w:val="22"/>
              </w:rPr>
            </w:pPr>
            <w:r>
              <w:rPr>
                <w:rFonts w:ascii="Arial" w:eastAsia="Arial" w:hAnsi="Arial" w:cs="Arial"/>
                <w:sz w:val="22"/>
                <w:szCs w:val="22"/>
              </w:rPr>
              <w:t xml:space="preserve">Develop and promote best practice preparedness material, </w:t>
            </w:r>
            <w:proofErr w:type="spellStart"/>
            <w:r>
              <w:rPr>
                <w:rFonts w:ascii="Arial" w:eastAsia="Arial" w:hAnsi="Arial" w:cs="Arial"/>
                <w:sz w:val="22"/>
                <w:szCs w:val="22"/>
              </w:rPr>
              <w:t>programmes</w:t>
            </w:r>
            <w:proofErr w:type="spellEnd"/>
            <w:r>
              <w:rPr>
                <w:rFonts w:ascii="Arial" w:eastAsia="Arial" w:hAnsi="Arial" w:cs="Arial"/>
                <w:sz w:val="22"/>
                <w:szCs w:val="22"/>
              </w:rPr>
              <w:t>, and assessment tools</w:t>
            </w:r>
          </w:p>
          <w:p w:rsidR="00111F32" w:rsidRDefault="00000000">
            <w:pPr>
              <w:numPr>
                <w:ilvl w:val="0"/>
                <w:numId w:val="1"/>
              </w:numPr>
              <w:spacing w:before="240" w:after="240" w:line="259" w:lineRule="auto"/>
              <w:rPr>
                <w:rFonts w:ascii="Arial" w:eastAsia="Arial" w:hAnsi="Arial" w:cs="Arial"/>
                <w:sz w:val="22"/>
                <w:szCs w:val="22"/>
              </w:rPr>
            </w:pPr>
            <w:r>
              <w:rPr>
                <w:rFonts w:ascii="Arial" w:eastAsia="Arial" w:hAnsi="Arial" w:cs="Arial"/>
                <w:sz w:val="22"/>
                <w:szCs w:val="22"/>
              </w:rPr>
              <w:t>Develop and promote tsunami risk reduction theory and practice</w:t>
            </w:r>
          </w:p>
          <w:p w:rsidR="00111F32" w:rsidRDefault="00000000">
            <w:pPr>
              <w:numPr>
                <w:ilvl w:val="0"/>
                <w:numId w:val="1"/>
              </w:numPr>
              <w:spacing w:before="240" w:after="240" w:line="259" w:lineRule="auto"/>
              <w:rPr>
                <w:rFonts w:ascii="Arial" w:eastAsia="Arial" w:hAnsi="Arial" w:cs="Arial"/>
                <w:color w:val="FF0000"/>
                <w:sz w:val="22"/>
                <w:szCs w:val="22"/>
              </w:rPr>
            </w:pPr>
            <w:r>
              <w:rPr>
                <w:rFonts w:ascii="Arial" w:eastAsia="Arial" w:hAnsi="Arial" w:cs="Arial"/>
                <w:color w:val="FF0000"/>
                <w:sz w:val="22"/>
                <w:szCs w:val="22"/>
              </w:rPr>
              <w:t>Review and advocate for the filling of gaps in Pacific Tsunami Risk Management and Preparedness identified from the 2025 PTWS Tsunami Preparedness Capacity Assessment</w:t>
            </w:r>
          </w:p>
          <w:p w:rsidR="00111F32" w:rsidRDefault="00000000">
            <w:pPr>
              <w:numPr>
                <w:ilvl w:val="0"/>
                <w:numId w:val="1"/>
              </w:numPr>
              <w:spacing w:before="240" w:after="240" w:line="259" w:lineRule="auto"/>
              <w:rPr>
                <w:rFonts w:ascii="Arial" w:eastAsia="Arial" w:hAnsi="Arial" w:cs="Arial"/>
                <w:sz w:val="22"/>
                <w:szCs w:val="22"/>
              </w:rPr>
            </w:pPr>
            <w:r>
              <w:rPr>
                <w:rFonts w:ascii="Arial" w:eastAsia="Arial" w:hAnsi="Arial" w:cs="Arial"/>
                <w:sz w:val="22"/>
                <w:szCs w:val="22"/>
              </w:rPr>
              <w:t xml:space="preserve">Support the ITIC of the ICG. </w:t>
            </w:r>
          </w:p>
        </w:tc>
      </w:tr>
    </w:tbl>
    <w:p w:rsidR="00111F32" w:rsidRDefault="00111F32">
      <w:pPr>
        <w:spacing w:before="240" w:after="240" w:line="276" w:lineRule="auto"/>
        <w:jc w:val="both"/>
        <w:rPr>
          <w:rFonts w:ascii="Arial" w:eastAsia="Arial" w:hAnsi="Arial" w:cs="Arial"/>
          <w:b/>
          <w:sz w:val="22"/>
          <w:szCs w:val="22"/>
          <w:highlight w:val="yellow"/>
          <w:u w:val="single"/>
        </w:rPr>
      </w:pPr>
    </w:p>
    <w:p w:rsidR="00111F32" w:rsidRDefault="00111F32">
      <w:pPr>
        <w:pBdr>
          <w:top w:val="nil"/>
          <w:left w:val="nil"/>
          <w:bottom w:val="nil"/>
          <w:right w:val="nil"/>
          <w:between w:val="nil"/>
        </w:pBdr>
        <w:rPr>
          <w:rFonts w:ascii="Arial" w:eastAsia="Arial" w:hAnsi="Arial" w:cs="Arial"/>
          <w:color w:val="000000"/>
          <w:sz w:val="22"/>
          <w:szCs w:val="22"/>
        </w:rPr>
      </w:pPr>
    </w:p>
    <w:p w:rsidR="00111F32" w:rsidRDefault="00111F32">
      <w:pPr>
        <w:pBdr>
          <w:top w:val="nil"/>
          <w:left w:val="nil"/>
          <w:bottom w:val="nil"/>
          <w:right w:val="nil"/>
          <w:between w:val="nil"/>
        </w:pBdr>
        <w:rPr>
          <w:rFonts w:ascii="Arial" w:eastAsia="Arial" w:hAnsi="Arial" w:cs="Arial"/>
          <w:b/>
          <w:color w:val="000000"/>
          <w:sz w:val="22"/>
          <w:szCs w:val="22"/>
        </w:rPr>
      </w:pPr>
    </w:p>
    <w:p w:rsidR="00111F32" w:rsidRDefault="00111F32">
      <w:pPr>
        <w:pBdr>
          <w:top w:val="nil"/>
          <w:left w:val="nil"/>
          <w:bottom w:val="nil"/>
          <w:right w:val="nil"/>
          <w:between w:val="nil"/>
        </w:pBdr>
        <w:rPr>
          <w:rFonts w:ascii="Arial" w:eastAsia="Arial" w:hAnsi="Arial" w:cs="Arial"/>
          <w:color w:val="000000"/>
          <w:sz w:val="22"/>
          <w:szCs w:val="22"/>
          <w:highlight w:val="yellow"/>
        </w:rPr>
      </w:pPr>
    </w:p>
    <w:p w:rsidR="00111F32" w:rsidRDefault="00111F32">
      <w:pPr>
        <w:spacing w:after="160" w:line="259" w:lineRule="auto"/>
        <w:jc w:val="both"/>
        <w:rPr>
          <w:rFonts w:ascii="Arial" w:eastAsia="Arial" w:hAnsi="Arial" w:cs="Arial"/>
          <w:b/>
        </w:rPr>
      </w:pPr>
    </w:p>
    <w:sectPr w:rsidR="00111F32">
      <w:footerReference w:type="even" r:id="rId10"/>
      <w:footerReference w:type="default" r:id="rId11"/>
      <w:pgSz w:w="11900" w:h="16820"/>
      <w:pgMar w:top="1440" w:right="1440" w:bottom="1296"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7931" w:rsidRDefault="006F7931">
      <w:r>
        <w:separator/>
      </w:r>
    </w:p>
    <w:p w:rsidR="006F7931" w:rsidRDefault="006F7931"/>
  </w:endnote>
  <w:endnote w:type="continuationSeparator" w:id="0">
    <w:p w:rsidR="006F7931" w:rsidRDefault="006F7931">
      <w:r>
        <w:continuationSeparator/>
      </w:r>
    </w:p>
    <w:p w:rsidR="006F7931" w:rsidRDefault="006F7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1F32"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111F32" w:rsidRDefault="00111F32">
    <w:pPr>
      <w:pBdr>
        <w:top w:val="nil"/>
        <w:left w:val="nil"/>
        <w:bottom w:val="nil"/>
        <w:right w:val="nil"/>
        <w:between w:val="nil"/>
      </w:pBdr>
      <w:tabs>
        <w:tab w:val="center" w:pos="4680"/>
        <w:tab w:val="right" w:pos="9360"/>
      </w:tabs>
      <w:rPr>
        <w:color w:val="000000"/>
      </w:rPr>
    </w:pPr>
  </w:p>
  <w:p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1F32" w:rsidRDefault="00000000">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223C3">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111F32" w:rsidRDefault="00111F32">
    <w:pPr>
      <w:pBdr>
        <w:top w:val="nil"/>
        <w:left w:val="nil"/>
        <w:bottom w:val="nil"/>
        <w:right w:val="nil"/>
        <w:between w:val="nil"/>
      </w:pBdr>
      <w:tabs>
        <w:tab w:val="center" w:pos="4680"/>
        <w:tab w:val="right" w:pos="9360"/>
      </w:tabs>
      <w:rPr>
        <w:rFonts w:ascii="Arial" w:eastAsia="Arial" w:hAnsi="Arial" w:cs="Arial"/>
        <w:color w:val="000000"/>
        <w:sz w:val="20"/>
        <w:szCs w:val="20"/>
      </w:rPr>
    </w:pPr>
  </w:p>
  <w:p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7931" w:rsidRDefault="006F7931">
      <w:r>
        <w:separator/>
      </w:r>
    </w:p>
    <w:p w:rsidR="006F7931" w:rsidRDefault="006F7931"/>
  </w:footnote>
  <w:footnote w:type="continuationSeparator" w:id="0">
    <w:p w:rsidR="006F7931" w:rsidRDefault="006F7931">
      <w:r>
        <w:continuationSeparator/>
      </w:r>
    </w:p>
    <w:p w:rsidR="006F7931" w:rsidRDefault="006F79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648A"/>
    <w:multiLevelType w:val="multilevel"/>
    <w:tmpl w:val="772652E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AD5BAF"/>
    <w:multiLevelType w:val="multilevel"/>
    <w:tmpl w:val="0FB6F8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4"/>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62B6DD5"/>
    <w:multiLevelType w:val="hybridMultilevel"/>
    <w:tmpl w:val="A25059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DA432C"/>
    <w:multiLevelType w:val="hybridMultilevel"/>
    <w:tmpl w:val="4F36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34656"/>
    <w:multiLevelType w:val="multilevel"/>
    <w:tmpl w:val="1EBC8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301DB6"/>
    <w:multiLevelType w:val="hybridMultilevel"/>
    <w:tmpl w:val="0EB0B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4B2829"/>
    <w:multiLevelType w:val="multilevel"/>
    <w:tmpl w:val="C55859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4"/>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1DA68CF"/>
    <w:multiLevelType w:val="multilevel"/>
    <w:tmpl w:val="1820F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5A1CF7"/>
    <w:multiLevelType w:val="multilevel"/>
    <w:tmpl w:val="BFE68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9B1C05"/>
    <w:multiLevelType w:val="multilevel"/>
    <w:tmpl w:val="31783B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50501415">
    <w:abstractNumId w:val="1"/>
  </w:num>
  <w:num w:numId="2" w16cid:durableId="700859497">
    <w:abstractNumId w:val="6"/>
  </w:num>
  <w:num w:numId="3" w16cid:durableId="1890410720">
    <w:abstractNumId w:val="4"/>
  </w:num>
  <w:num w:numId="4" w16cid:durableId="1362853717">
    <w:abstractNumId w:val="8"/>
  </w:num>
  <w:num w:numId="5" w16cid:durableId="928928458">
    <w:abstractNumId w:val="9"/>
  </w:num>
  <w:num w:numId="6" w16cid:durableId="1248072553">
    <w:abstractNumId w:val="7"/>
  </w:num>
  <w:num w:numId="7" w16cid:durableId="866218735">
    <w:abstractNumId w:val="0"/>
  </w:num>
  <w:num w:numId="8" w16cid:durableId="1494028856">
    <w:abstractNumId w:val="3"/>
  </w:num>
  <w:num w:numId="9" w16cid:durableId="866259736">
    <w:abstractNumId w:val="2"/>
  </w:num>
  <w:num w:numId="10" w16cid:durableId="1361663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32"/>
    <w:rsid w:val="00001FB0"/>
    <w:rsid w:val="000547B2"/>
    <w:rsid w:val="0009764E"/>
    <w:rsid w:val="000A4DF9"/>
    <w:rsid w:val="000B47E5"/>
    <w:rsid w:val="000E16BB"/>
    <w:rsid w:val="00111F32"/>
    <w:rsid w:val="00123AAE"/>
    <w:rsid w:val="001444F4"/>
    <w:rsid w:val="002B2C40"/>
    <w:rsid w:val="00370AD2"/>
    <w:rsid w:val="004D0DA1"/>
    <w:rsid w:val="00514C73"/>
    <w:rsid w:val="00536292"/>
    <w:rsid w:val="005B7F25"/>
    <w:rsid w:val="00644C91"/>
    <w:rsid w:val="006E79D9"/>
    <w:rsid w:val="006E7F63"/>
    <w:rsid w:val="006F7931"/>
    <w:rsid w:val="00755C6B"/>
    <w:rsid w:val="008223C3"/>
    <w:rsid w:val="00826FC5"/>
    <w:rsid w:val="00982D65"/>
    <w:rsid w:val="009A0289"/>
    <w:rsid w:val="00A21005"/>
    <w:rsid w:val="00A90491"/>
    <w:rsid w:val="00AE6518"/>
    <w:rsid w:val="00B44C4F"/>
    <w:rsid w:val="00B627B2"/>
    <w:rsid w:val="00BA01AC"/>
    <w:rsid w:val="00BC7EF0"/>
    <w:rsid w:val="00C33F7D"/>
    <w:rsid w:val="00C71A2E"/>
    <w:rsid w:val="00C730B9"/>
    <w:rsid w:val="00C91049"/>
    <w:rsid w:val="00CA3DC1"/>
    <w:rsid w:val="00DC549D"/>
    <w:rsid w:val="00DD27EE"/>
    <w:rsid w:val="00DE47E3"/>
    <w:rsid w:val="00DE48D7"/>
    <w:rsid w:val="00E40508"/>
    <w:rsid w:val="00E764D9"/>
    <w:rsid w:val="00E81485"/>
    <w:rsid w:val="00EA43B5"/>
    <w:rsid w:val="00EF701E"/>
    <w:rsid w:val="00F25645"/>
    <w:rsid w:val="00F4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19A6"/>
  <w15:docId w15:val="{7A6637C4-06DD-4C4F-9E9B-C465424B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both"/>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0" w:line="259" w:lineRule="auto"/>
      <w:outlineLvl w:val="3"/>
    </w:pPr>
    <w:rPr>
      <w:rFonts w:ascii="Calibri" w:eastAsia="Calibri" w:hAnsi="Calibri" w:cs="Calibri"/>
      <w:i/>
      <w:color w:val="2E75B5"/>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D0DA1"/>
    <w:pPr>
      <w:ind w:left="720"/>
      <w:contextualSpacing/>
    </w:pPr>
  </w:style>
  <w:style w:type="paragraph" w:styleId="Header">
    <w:name w:val="header"/>
    <w:basedOn w:val="Normal"/>
    <w:link w:val="HeaderChar"/>
    <w:uiPriority w:val="99"/>
    <w:unhideWhenUsed/>
    <w:rsid w:val="001444F4"/>
    <w:pPr>
      <w:tabs>
        <w:tab w:val="center" w:pos="4680"/>
        <w:tab w:val="right" w:pos="9360"/>
      </w:tabs>
    </w:pPr>
  </w:style>
  <w:style w:type="character" w:customStyle="1" w:styleId="HeaderChar">
    <w:name w:val="Header Char"/>
    <w:basedOn w:val="DefaultParagraphFont"/>
    <w:link w:val="Header"/>
    <w:uiPriority w:val="99"/>
    <w:rsid w:val="001444F4"/>
  </w:style>
  <w:style w:type="paragraph" w:styleId="Footer">
    <w:name w:val="footer"/>
    <w:basedOn w:val="Normal"/>
    <w:link w:val="FooterChar"/>
    <w:uiPriority w:val="99"/>
    <w:unhideWhenUsed/>
    <w:rsid w:val="001444F4"/>
    <w:pPr>
      <w:tabs>
        <w:tab w:val="center" w:pos="4680"/>
        <w:tab w:val="right" w:pos="9360"/>
      </w:tabs>
    </w:pPr>
  </w:style>
  <w:style w:type="character" w:customStyle="1" w:styleId="FooterChar">
    <w:name w:val="Footer Char"/>
    <w:basedOn w:val="DefaultParagraphFont"/>
    <w:link w:val="Footer"/>
    <w:uiPriority w:val="99"/>
    <w:rsid w:val="001444F4"/>
  </w:style>
  <w:style w:type="paragraph" w:styleId="NormalWeb">
    <w:name w:val="Normal (Web)"/>
    <w:basedOn w:val="Normal"/>
    <w:uiPriority w:val="99"/>
    <w:semiHidden/>
    <w:unhideWhenUsed/>
    <w:rsid w:val="002B2C40"/>
  </w:style>
  <w:style w:type="character" w:styleId="Hyperlink">
    <w:name w:val="Hyperlink"/>
    <w:basedOn w:val="DefaultParagraphFont"/>
    <w:uiPriority w:val="99"/>
    <w:unhideWhenUsed/>
    <w:rsid w:val="00EF701E"/>
    <w:rPr>
      <w:color w:val="0000FF" w:themeColor="hyperlink"/>
      <w:u w:val="single"/>
    </w:rPr>
  </w:style>
  <w:style w:type="character" w:styleId="UnresolvedMention">
    <w:name w:val="Unresolved Mention"/>
    <w:basedOn w:val="DefaultParagraphFont"/>
    <w:uiPriority w:val="99"/>
    <w:semiHidden/>
    <w:unhideWhenUsed/>
    <w:rsid w:val="00EF7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6280">
      <w:bodyDiv w:val="1"/>
      <w:marLeft w:val="0"/>
      <w:marRight w:val="0"/>
      <w:marTop w:val="0"/>
      <w:marBottom w:val="0"/>
      <w:divBdr>
        <w:top w:val="none" w:sz="0" w:space="0" w:color="auto"/>
        <w:left w:val="none" w:sz="0" w:space="0" w:color="auto"/>
        <w:bottom w:val="none" w:sz="0" w:space="0" w:color="auto"/>
        <w:right w:val="none" w:sz="0" w:space="0" w:color="auto"/>
      </w:divBdr>
      <w:divsChild>
        <w:div w:id="166987603">
          <w:marLeft w:val="0"/>
          <w:marRight w:val="0"/>
          <w:marTop w:val="0"/>
          <w:marBottom w:val="0"/>
          <w:divBdr>
            <w:top w:val="none" w:sz="0" w:space="0" w:color="auto"/>
            <w:left w:val="none" w:sz="0" w:space="0" w:color="auto"/>
            <w:bottom w:val="none" w:sz="0" w:space="0" w:color="auto"/>
            <w:right w:val="none" w:sz="0" w:space="0" w:color="auto"/>
          </w:divBdr>
          <w:divsChild>
            <w:div w:id="209999508">
              <w:marLeft w:val="0"/>
              <w:marRight w:val="0"/>
              <w:marTop w:val="0"/>
              <w:marBottom w:val="0"/>
              <w:divBdr>
                <w:top w:val="none" w:sz="0" w:space="0" w:color="auto"/>
                <w:left w:val="none" w:sz="0" w:space="0" w:color="auto"/>
                <w:bottom w:val="none" w:sz="0" w:space="0" w:color="auto"/>
                <w:right w:val="none" w:sz="0" w:space="0" w:color="auto"/>
              </w:divBdr>
              <w:divsChild>
                <w:div w:id="17878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4468">
      <w:bodyDiv w:val="1"/>
      <w:marLeft w:val="0"/>
      <w:marRight w:val="0"/>
      <w:marTop w:val="0"/>
      <w:marBottom w:val="0"/>
      <w:divBdr>
        <w:top w:val="none" w:sz="0" w:space="0" w:color="auto"/>
        <w:left w:val="none" w:sz="0" w:space="0" w:color="auto"/>
        <w:bottom w:val="none" w:sz="0" w:space="0" w:color="auto"/>
        <w:right w:val="none" w:sz="0" w:space="0" w:color="auto"/>
      </w:divBdr>
      <w:divsChild>
        <w:div w:id="659042075">
          <w:marLeft w:val="0"/>
          <w:marRight w:val="0"/>
          <w:marTop w:val="0"/>
          <w:marBottom w:val="0"/>
          <w:divBdr>
            <w:top w:val="none" w:sz="0" w:space="0" w:color="auto"/>
            <w:left w:val="none" w:sz="0" w:space="0" w:color="auto"/>
            <w:bottom w:val="none" w:sz="0" w:space="0" w:color="auto"/>
            <w:right w:val="none" w:sz="0" w:space="0" w:color="auto"/>
          </w:divBdr>
          <w:divsChild>
            <w:div w:id="1619675959">
              <w:marLeft w:val="0"/>
              <w:marRight w:val="0"/>
              <w:marTop w:val="0"/>
              <w:marBottom w:val="0"/>
              <w:divBdr>
                <w:top w:val="none" w:sz="0" w:space="0" w:color="auto"/>
                <w:left w:val="none" w:sz="0" w:space="0" w:color="auto"/>
                <w:bottom w:val="none" w:sz="0" w:space="0" w:color="auto"/>
                <w:right w:val="none" w:sz="0" w:space="0" w:color="auto"/>
              </w:divBdr>
              <w:divsChild>
                <w:div w:id="7110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18105">
      <w:bodyDiv w:val="1"/>
      <w:marLeft w:val="0"/>
      <w:marRight w:val="0"/>
      <w:marTop w:val="0"/>
      <w:marBottom w:val="0"/>
      <w:divBdr>
        <w:top w:val="none" w:sz="0" w:space="0" w:color="auto"/>
        <w:left w:val="none" w:sz="0" w:space="0" w:color="auto"/>
        <w:bottom w:val="none" w:sz="0" w:space="0" w:color="auto"/>
        <w:right w:val="none" w:sz="0" w:space="0" w:color="auto"/>
      </w:divBdr>
      <w:divsChild>
        <w:div w:id="687146066">
          <w:marLeft w:val="0"/>
          <w:marRight w:val="0"/>
          <w:marTop w:val="0"/>
          <w:marBottom w:val="0"/>
          <w:divBdr>
            <w:top w:val="none" w:sz="0" w:space="0" w:color="auto"/>
            <w:left w:val="none" w:sz="0" w:space="0" w:color="auto"/>
            <w:bottom w:val="none" w:sz="0" w:space="0" w:color="auto"/>
            <w:right w:val="none" w:sz="0" w:space="0" w:color="auto"/>
          </w:divBdr>
          <w:divsChild>
            <w:div w:id="1915164578">
              <w:marLeft w:val="0"/>
              <w:marRight w:val="0"/>
              <w:marTop w:val="0"/>
              <w:marBottom w:val="0"/>
              <w:divBdr>
                <w:top w:val="none" w:sz="0" w:space="0" w:color="auto"/>
                <w:left w:val="none" w:sz="0" w:space="0" w:color="auto"/>
                <w:bottom w:val="none" w:sz="0" w:space="0" w:color="auto"/>
                <w:right w:val="none" w:sz="0" w:space="0" w:color="auto"/>
              </w:divBdr>
              <w:divsChild>
                <w:div w:id="1590577096">
                  <w:marLeft w:val="0"/>
                  <w:marRight w:val="0"/>
                  <w:marTop w:val="0"/>
                  <w:marBottom w:val="0"/>
                  <w:divBdr>
                    <w:top w:val="none" w:sz="0" w:space="0" w:color="auto"/>
                    <w:left w:val="none" w:sz="0" w:space="0" w:color="auto"/>
                    <w:bottom w:val="none" w:sz="0" w:space="0" w:color="auto"/>
                    <w:right w:val="none" w:sz="0" w:space="0" w:color="auto"/>
                  </w:divBdr>
                  <w:divsChild>
                    <w:div w:id="2678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29942">
      <w:bodyDiv w:val="1"/>
      <w:marLeft w:val="0"/>
      <w:marRight w:val="0"/>
      <w:marTop w:val="0"/>
      <w:marBottom w:val="0"/>
      <w:divBdr>
        <w:top w:val="none" w:sz="0" w:space="0" w:color="auto"/>
        <w:left w:val="none" w:sz="0" w:space="0" w:color="auto"/>
        <w:bottom w:val="none" w:sz="0" w:space="0" w:color="auto"/>
        <w:right w:val="none" w:sz="0" w:space="0" w:color="auto"/>
      </w:divBdr>
    </w:div>
    <w:div w:id="2061976120">
      <w:bodyDiv w:val="1"/>
      <w:marLeft w:val="0"/>
      <w:marRight w:val="0"/>
      <w:marTop w:val="0"/>
      <w:marBottom w:val="0"/>
      <w:divBdr>
        <w:top w:val="none" w:sz="0" w:space="0" w:color="auto"/>
        <w:left w:val="none" w:sz="0" w:space="0" w:color="auto"/>
        <w:bottom w:val="none" w:sz="0" w:space="0" w:color="auto"/>
        <w:right w:val="none" w:sz="0" w:space="0" w:color="auto"/>
      </w:divBdr>
      <w:divsChild>
        <w:div w:id="849955108">
          <w:marLeft w:val="0"/>
          <w:marRight w:val="0"/>
          <w:marTop w:val="0"/>
          <w:marBottom w:val="0"/>
          <w:divBdr>
            <w:top w:val="none" w:sz="0" w:space="0" w:color="auto"/>
            <w:left w:val="none" w:sz="0" w:space="0" w:color="auto"/>
            <w:bottom w:val="none" w:sz="0" w:space="0" w:color="auto"/>
            <w:right w:val="none" w:sz="0" w:space="0" w:color="auto"/>
          </w:divBdr>
          <w:divsChild>
            <w:div w:id="1893538996">
              <w:marLeft w:val="0"/>
              <w:marRight w:val="0"/>
              <w:marTop w:val="0"/>
              <w:marBottom w:val="0"/>
              <w:divBdr>
                <w:top w:val="none" w:sz="0" w:space="0" w:color="auto"/>
                <w:left w:val="none" w:sz="0" w:space="0" w:color="auto"/>
                <w:bottom w:val="none" w:sz="0" w:space="0" w:color="auto"/>
                <w:right w:val="none" w:sz="0" w:space="0" w:color="auto"/>
              </w:divBdr>
              <w:divsChild>
                <w:div w:id="283386869">
                  <w:marLeft w:val="0"/>
                  <w:marRight w:val="0"/>
                  <w:marTop w:val="0"/>
                  <w:marBottom w:val="0"/>
                  <w:divBdr>
                    <w:top w:val="none" w:sz="0" w:space="0" w:color="auto"/>
                    <w:left w:val="none" w:sz="0" w:space="0" w:color="auto"/>
                    <w:bottom w:val="none" w:sz="0" w:space="0" w:color="auto"/>
                    <w:right w:val="none" w:sz="0" w:space="0" w:color="auto"/>
                  </w:divBdr>
                  <w:divsChild>
                    <w:div w:id="16562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46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916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meo.com/941247303/c5540a40cc?share=cop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nr.wa.gov/publications/ger_tsuinfo_2024_v26_no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11</Pages>
  <Words>4215</Words>
  <Characters>24029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Kong</cp:lastModifiedBy>
  <cp:revision>29</cp:revision>
  <dcterms:created xsi:type="dcterms:W3CDTF">2025-04-06T20:57:00Z</dcterms:created>
  <dcterms:modified xsi:type="dcterms:W3CDTF">2025-04-07T04:44:00Z</dcterms:modified>
</cp:coreProperties>
</file>