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393D" w14:textId="77777777" w:rsidR="00BD1133" w:rsidRPr="00BD1133" w:rsidRDefault="00BD1133" w:rsidP="00BD1133">
      <w:pPr>
        <w:pStyle w:val="Heading1"/>
        <w:rPr>
          <w:rFonts w:ascii="Arial" w:hAnsi="Arial" w:cs="Arial"/>
          <w:b/>
          <w:bCs/>
          <w:color w:val="auto"/>
          <w:sz w:val="22"/>
          <w:szCs w:val="22"/>
        </w:rPr>
      </w:pPr>
      <w:r w:rsidRPr="00BD1133">
        <w:rPr>
          <w:rFonts w:ascii="Arial" w:hAnsi="Arial" w:cs="Arial"/>
          <w:b/>
          <w:bCs/>
          <w:color w:val="auto"/>
          <w:sz w:val="22"/>
          <w:szCs w:val="22"/>
        </w:rPr>
        <w:t>Context</w:t>
      </w:r>
    </w:p>
    <w:p w14:paraId="3A949255" w14:textId="77777777" w:rsidR="00BD1133" w:rsidRPr="00BD1133" w:rsidRDefault="00BD1133" w:rsidP="00BD1133">
      <w:pPr>
        <w:rPr>
          <w:rFonts w:ascii="Arial" w:hAnsi="Arial" w:cs="Arial"/>
          <w:sz w:val="22"/>
          <w:szCs w:val="22"/>
        </w:rPr>
      </w:pPr>
      <w:r w:rsidRPr="00BD1133">
        <w:rPr>
          <w:rFonts w:ascii="Arial" w:hAnsi="Arial" w:cs="Arial"/>
          <w:sz w:val="22"/>
          <w:szCs w:val="22"/>
        </w:rPr>
        <w:t>Africa’s ocean spaces support diverse and rich ecosystems, vital to the livelihoods, food security, culture, and economies of coastal populations. The region is home to globally significant biodiversity hotspots, including coral reefs, seagrass beds, mangroves, and deep-sea habitats. Yet, these ecosystems are under increasing pressure due to pollution, overexploitation, habitat degradation, climate change, and limited regulatory enforcement. Global and regional frameworks—including the Convention on Biological Diversity (CBD), the Sustainable Development Goals (SDGs), the Kunming-Montreal Global Biodiversity Framework, and the new Agreement on Biodiversity Beyond National Jurisdiction (BBNJ)—call for urgent action to assess, conserve, and sustainably manage marine biodiversity.</w:t>
      </w:r>
      <w:r w:rsidRPr="00BD1133">
        <w:rPr>
          <w:rFonts w:ascii="Arial" w:hAnsi="Arial" w:cs="Arial"/>
          <w:sz w:val="22"/>
          <w:szCs w:val="22"/>
        </w:rPr>
        <w:br/>
      </w:r>
      <w:r w:rsidRPr="00BD1133">
        <w:rPr>
          <w:rFonts w:ascii="Arial" w:hAnsi="Arial" w:cs="Arial"/>
          <w:sz w:val="22"/>
          <w:szCs w:val="22"/>
        </w:rPr>
        <w:br/>
        <w:t xml:space="preserve">While African countries have made strides in ocean science and ecosystem monitoring, much of the data is fragmented, assessments are not regularly updated, and capacity for ecosystem-based planning remains low. However, Africa is not starting from a vacuum. Several national and regional institutions possess research capacity, taxonomic expertise, and experience in marine assessments. With coordinated support, these can be elevated to regional </w:t>
      </w:r>
      <w:proofErr w:type="spellStart"/>
      <w:r w:rsidRPr="00BD1133">
        <w:rPr>
          <w:rFonts w:ascii="Arial" w:hAnsi="Arial" w:cs="Arial"/>
          <w:sz w:val="22"/>
          <w:szCs w:val="22"/>
        </w:rPr>
        <w:t>centers</w:t>
      </w:r>
      <w:proofErr w:type="spellEnd"/>
      <w:r w:rsidRPr="00BD1133">
        <w:rPr>
          <w:rFonts w:ascii="Arial" w:hAnsi="Arial" w:cs="Arial"/>
          <w:sz w:val="22"/>
          <w:szCs w:val="22"/>
        </w:rPr>
        <w:t xml:space="preserve"> of excellence. This working group is expected to chart a pathway to strengthen the science-policy interface for biodiversity conservation, integrate African priorities into global biodiversity frameworks, and support decision-making through robust assessments.</w:t>
      </w:r>
    </w:p>
    <w:p w14:paraId="70BE910E"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Purpose</w:t>
      </w:r>
    </w:p>
    <w:p w14:paraId="59CFBF8B" w14:textId="77777777" w:rsidR="00BD1133" w:rsidRPr="00BD1133" w:rsidRDefault="00BD1133" w:rsidP="00BD1133">
      <w:pPr>
        <w:rPr>
          <w:rFonts w:ascii="Arial" w:hAnsi="Arial" w:cs="Arial"/>
          <w:sz w:val="22"/>
          <w:szCs w:val="22"/>
        </w:rPr>
      </w:pPr>
      <w:r w:rsidRPr="00BD1133">
        <w:rPr>
          <w:rFonts w:ascii="Arial" w:hAnsi="Arial" w:cs="Arial"/>
          <w:sz w:val="22"/>
          <w:szCs w:val="22"/>
        </w:rPr>
        <w:t>To support the development of a science-based, action-oriented work plan for ocean science, biodiversity, and ecosystem assessments that contributes to sustainability and resilience in Africa’s marine environment.</w:t>
      </w:r>
    </w:p>
    <w:p w14:paraId="11F42246"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1. Theme Overview</w:t>
      </w:r>
    </w:p>
    <w:p w14:paraId="5DD384AF" w14:textId="77777777" w:rsidR="00BD1133" w:rsidRPr="00BD1133" w:rsidRDefault="00BD1133" w:rsidP="00BD1133">
      <w:pPr>
        <w:rPr>
          <w:rFonts w:ascii="Arial" w:hAnsi="Arial" w:cs="Arial"/>
          <w:sz w:val="22"/>
          <w:szCs w:val="22"/>
        </w:rPr>
      </w:pPr>
      <w:r w:rsidRPr="00BD1133">
        <w:rPr>
          <w:rFonts w:ascii="Arial" w:hAnsi="Arial" w:cs="Arial"/>
          <w:sz w:val="22"/>
          <w:szCs w:val="22"/>
        </w:rPr>
        <w:t xml:space="preserve">This theme encompasses scientific research and monitoring efforts to understand marine ecosystems, their services, and stressors. It promotes actions to assess, conserve, and sustainably use biodiversity, while advancing ocean literacy, heritage conservation, and climate resilience through applied science and local knowledge. It is also essential to prepare African </w:t>
      </w:r>
      <w:r w:rsidRPr="00BD1133">
        <w:rPr>
          <w:rFonts w:ascii="Arial" w:hAnsi="Arial" w:cs="Arial"/>
          <w:sz w:val="22"/>
          <w:szCs w:val="22"/>
        </w:rPr>
        <w:lastRenderedPageBreak/>
        <w:t>countries for implementation of the BBNJ treaty, SDG indicators, and national biodiversity strategies.</w:t>
      </w:r>
    </w:p>
    <w:p w14:paraId="169622B1"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2. Sub-Themes to Cover</w:t>
      </w:r>
    </w:p>
    <w:p w14:paraId="18BD901C" w14:textId="77777777" w:rsidR="00BD1133" w:rsidRPr="00BD1133" w:rsidRDefault="00BD1133" w:rsidP="00BD1133">
      <w:pPr>
        <w:pStyle w:val="ListParagraph"/>
        <w:numPr>
          <w:ilvl w:val="0"/>
          <w:numId w:val="11"/>
        </w:numPr>
        <w:tabs>
          <w:tab w:val="clear" w:pos="567"/>
        </w:tabs>
        <w:snapToGrid/>
        <w:spacing w:after="200" w:line="276" w:lineRule="auto"/>
        <w:rPr>
          <w:rFonts w:ascii="Arial" w:hAnsi="Arial" w:cs="Arial"/>
          <w:sz w:val="22"/>
          <w:szCs w:val="22"/>
        </w:rPr>
      </w:pPr>
      <w:r w:rsidRPr="00BD1133">
        <w:rPr>
          <w:rFonts w:ascii="Arial" w:hAnsi="Arial" w:cs="Arial"/>
          <w:sz w:val="22"/>
          <w:szCs w:val="22"/>
        </w:rPr>
        <w:t>Marine pollution and ecosystem health → Understanding sources, impacts, and priority interventions.</w:t>
      </w:r>
    </w:p>
    <w:p w14:paraId="3B4E314D" w14:textId="77777777" w:rsidR="00BD1133" w:rsidRPr="00BD1133" w:rsidRDefault="00BD1133" w:rsidP="00BD1133">
      <w:pPr>
        <w:pStyle w:val="ListParagraph"/>
        <w:numPr>
          <w:ilvl w:val="0"/>
          <w:numId w:val="11"/>
        </w:numPr>
        <w:tabs>
          <w:tab w:val="clear" w:pos="567"/>
        </w:tabs>
        <w:snapToGrid/>
        <w:spacing w:after="200" w:line="276" w:lineRule="auto"/>
        <w:rPr>
          <w:rFonts w:ascii="Arial" w:hAnsi="Arial" w:cs="Arial"/>
          <w:sz w:val="22"/>
          <w:szCs w:val="22"/>
        </w:rPr>
      </w:pPr>
      <w:r w:rsidRPr="00BD1133">
        <w:rPr>
          <w:rFonts w:ascii="Arial" w:hAnsi="Arial" w:cs="Arial"/>
          <w:sz w:val="22"/>
          <w:szCs w:val="22"/>
        </w:rPr>
        <w:t>Climate change impacts and blue carbon ecosystems → Including mangroves, seagrasses, and saltmarshes.</w:t>
      </w:r>
    </w:p>
    <w:p w14:paraId="41C63A7A" w14:textId="77777777" w:rsidR="00BD1133" w:rsidRPr="00BD1133" w:rsidRDefault="00BD1133" w:rsidP="00BD1133">
      <w:pPr>
        <w:pStyle w:val="ListParagraph"/>
        <w:numPr>
          <w:ilvl w:val="0"/>
          <w:numId w:val="11"/>
        </w:numPr>
        <w:tabs>
          <w:tab w:val="clear" w:pos="567"/>
        </w:tabs>
        <w:snapToGrid/>
        <w:spacing w:after="200" w:line="276" w:lineRule="auto"/>
        <w:rPr>
          <w:rFonts w:ascii="Arial" w:hAnsi="Arial" w:cs="Arial"/>
          <w:sz w:val="22"/>
          <w:szCs w:val="22"/>
        </w:rPr>
      </w:pPr>
      <w:r w:rsidRPr="00BD1133">
        <w:rPr>
          <w:rFonts w:ascii="Arial" w:hAnsi="Arial" w:cs="Arial"/>
          <w:sz w:val="22"/>
          <w:szCs w:val="22"/>
        </w:rPr>
        <w:t>Ocean biodiversity conservation and protected areas → Strengthening science to support MPAs and OECMs.</w:t>
      </w:r>
    </w:p>
    <w:p w14:paraId="6CBE3C8D" w14:textId="77777777" w:rsidR="00BD1133" w:rsidRPr="00BD1133" w:rsidRDefault="00BD1133" w:rsidP="00BD1133">
      <w:pPr>
        <w:pStyle w:val="ListParagraph"/>
        <w:numPr>
          <w:ilvl w:val="0"/>
          <w:numId w:val="11"/>
        </w:numPr>
        <w:tabs>
          <w:tab w:val="clear" w:pos="567"/>
        </w:tabs>
        <w:snapToGrid/>
        <w:spacing w:after="200" w:line="276" w:lineRule="auto"/>
        <w:rPr>
          <w:rFonts w:ascii="Arial" w:hAnsi="Arial" w:cs="Arial"/>
          <w:sz w:val="22"/>
          <w:szCs w:val="22"/>
        </w:rPr>
      </w:pPr>
      <w:r w:rsidRPr="00BD1133">
        <w:rPr>
          <w:rFonts w:ascii="Arial" w:hAnsi="Arial" w:cs="Arial"/>
          <w:sz w:val="22"/>
          <w:szCs w:val="22"/>
        </w:rPr>
        <w:t>BBNJ treaty and biodiversity frameworks → Regional coordination for negotiation, implementation, and monitoring.</w:t>
      </w:r>
    </w:p>
    <w:p w14:paraId="5925CC15" w14:textId="77777777" w:rsidR="00BD1133" w:rsidRPr="00BD1133" w:rsidRDefault="00BD1133" w:rsidP="00BD1133">
      <w:pPr>
        <w:pStyle w:val="ListParagraph"/>
        <w:numPr>
          <w:ilvl w:val="0"/>
          <w:numId w:val="11"/>
        </w:numPr>
        <w:tabs>
          <w:tab w:val="clear" w:pos="567"/>
        </w:tabs>
        <w:snapToGrid/>
        <w:spacing w:after="200" w:line="276" w:lineRule="auto"/>
        <w:rPr>
          <w:rFonts w:ascii="Arial" w:hAnsi="Arial" w:cs="Arial"/>
          <w:sz w:val="22"/>
          <w:szCs w:val="22"/>
        </w:rPr>
      </w:pPr>
      <w:r w:rsidRPr="00BD1133">
        <w:rPr>
          <w:rFonts w:ascii="Arial" w:hAnsi="Arial" w:cs="Arial"/>
          <w:sz w:val="22"/>
          <w:szCs w:val="22"/>
        </w:rPr>
        <w:t>Harmful algal blooms (HABs) and biological risks → Enhancing surveillance and response systems.</w:t>
      </w:r>
    </w:p>
    <w:p w14:paraId="1A1319F9" w14:textId="77777777" w:rsidR="00BD1133" w:rsidRPr="00BD1133" w:rsidRDefault="00BD1133" w:rsidP="00BD1133">
      <w:pPr>
        <w:pStyle w:val="ListParagraph"/>
        <w:numPr>
          <w:ilvl w:val="0"/>
          <w:numId w:val="11"/>
        </w:numPr>
        <w:tabs>
          <w:tab w:val="clear" w:pos="567"/>
        </w:tabs>
        <w:snapToGrid/>
        <w:spacing w:after="200" w:line="276" w:lineRule="auto"/>
        <w:rPr>
          <w:rFonts w:ascii="Arial" w:hAnsi="Arial" w:cs="Arial"/>
          <w:sz w:val="22"/>
          <w:szCs w:val="22"/>
        </w:rPr>
      </w:pPr>
      <w:r w:rsidRPr="00BD1133">
        <w:rPr>
          <w:rFonts w:ascii="Arial" w:hAnsi="Arial" w:cs="Arial"/>
          <w:sz w:val="22"/>
          <w:szCs w:val="22"/>
        </w:rPr>
        <w:t>Ecosystem assessments and State of the Ocean reporting → Establishing baselines and data sharing practices.</w:t>
      </w:r>
    </w:p>
    <w:p w14:paraId="69D81EDA"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3. Guiding Questions</w:t>
      </w:r>
    </w:p>
    <w:p w14:paraId="23247048" w14:textId="77777777" w:rsidR="00BD1133" w:rsidRPr="00BD1133" w:rsidRDefault="00BD1133" w:rsidP="00BD1133">
      <w:pPr>
        <w:pStyle w:val="ListParagraph"/>
        <w:numPr>
          <w:ilvl w:val="0"/>
          <w:numId w:val="12"/>
        </w:numPr>
        <w:tabs>
          <w:tab w:val="clear" w:pos="567"/>
        </w:tabs>
        <w:snapToGrid/>
        <w:spacing w:after="200" w:line="276" w:lineRule="auto"/>
        <w:rPr>
          <w:rFonts w:ascii="Arial" w:hAnsi="Arial" w:cs="Arial"/>
          <w:sz w:val="22"/>
          <w:szCs w:val="22"/>
        </w:rPr>
      </w:pPr>
      <w:r w:rsidRPr="00BD1133">
        <w:rPr>
          <w:rFonts w:ascii="Arial" w:hAnsi="Arial" w:cs="Arial"/>
          <w:sz w:val="22"/>
          <w:szCs w:val="22"/>
        </w:rPr>
        <w:t>What are the priority biodiversity knowledge gaps in African coastal and marine areas?</w:t>
      </w:r>
    </w:p>
    <w:p w14:paraId="47F440E3" w14:textId="77777777" w:rsidR="00BD1133" w:rsidRPr="00BD1133" w:rsidRDefault="00BD1133" w:rsidP="00BD1133">
      <w:pPr>
        <w:pStyle w:val="ListParagraph"/>
        <w:numPr>
          <w:ilvl w:val="0"/>
          <w:numId w:val="12"/>
        </w:numPr>
        <w:tabs>
          <w:tab w:val="clear" w:pos="567"/>
        </w:tabs>
        <w:snapToGrid/>
        <w:spacing w:after="200" w:line="276" w:lineRule="auto"/>
        <w:rPr>
          <w:rFonts w:ascii="Arial" w:hAnsi="Arial" w:cs="Arial"/>
          <w:sz w:val="22"/>
          <w:szCs w:val="22"/>
        </w:rPr>
      </w:pPr>
      <w:r w:rsidRPr="00BD1133">
        <w:rPr>
          <w:rFonts w:ascii="Arial" w:hAnsi="Arial" w:cs="Arial"/>
          <w:sz w:val="22"/>
          <w:szCs w:val="22"/>
        </w:rPr>
        <w:t>How can assessments support national action on MPAs, pollution, and restoration?</w:t>
      </w:r>
    </w:p>
    <w:p w14:paraId="006A304A" w14:textId="77777777" w:rsidR="00BD1133" w:rsidRPr="00BD1133" w:rsidRDefault="00BD1133" w:rsidP="00BD1133">
      <w:pPr>
        <w:pStyle w:val="ListParagraph"/>
        <w:numPr>
          <w:ilvl w:val="0"/>
          <w:numId w:val="12"/>
        </w:numPr>
        <w:tabs>
          <w:tab w:val="clear" w:pos="567"/>
        </w:tabs>
        <w:snapToGrid/>
        <w:spacing w:after="200" w:line="276" w:lineRule="auto"/>
        <w:rPr>
          <w:rFonts w:ascii="Arial" w:hAnsi="Arial" w:cs="Arial"/>
          <w:sz w:val="22"/>
          <w:szCs w:val="22"/>
        </w:rPr>
      </w:pPr>
      <w:r w:rsidRPr="00BD1133">
        <w:rPr>
          <w:rFonts w:ascii="Arial" w:hAnsi="Arial" w:cs="Arial"/>
          <w:sz w:val="22"/>
          <w:szCs w:val="22"/>
        </w:rPr>
        <w:t>What scientific and technical support is needed for BBNJ implementation in Africa?</w:t>
      </w:r>
    </w:p>
    <w:p w14:paraId="04CB48F9" w14:textId="77777777" w:rsidR="00BD1133" w:rsidRPr="00BD1133" w:rsidRDefault="00BD1133" w:rsidP="00BD1133">
      <w:pPr>
        <w:pStyle w:val="ListParagraph"/>
        <w:numPr>
          <w:ilvl w:val="0"/>
          <w:numId w:val="12"/>
        </w:numPr>
        <w:tabs>
          <w:tab w:val="clear" w:pos="567"/>
        </w:tabs>
        <w:snapToGrid/>
        <w:spacing w:after="200" w:line="276" w:lineRule="auto"/>
        <w:rPr>
          <w:rFonts w:ascii="Arial" w:hAnsi="Arial" w:cs="Arial"/>
          <w:sz w:val="22"/>
          <w:szCs w:val="22"/>
        </w:rPr>
      </w:pPr>
      <w:r w:rsidRPr="00BD1133">
        <w:rPr>
          <w:rFonts w:ascii="Arial" w:hAnsi="Arial" w:cs="Arial"/>
          <w:sz w:val="22"/>
          <w:szCs w:val="22"/>
        </w:rPr>
        <w:t>How can local knowledge, cultural values, and underwater heritage be integrated into biodiversity planning?</w:t>
      </w:r>
    </w:p>
    <w:p w14:paraId="05BB33E1" w14:textId="77777777" w:rsidR="00BD1133" w:rsidRPr="00BD1133" w:rsidRDefault="00BD1133" w:rsidP="00BD1133">
      <w:pPr>
        <w:pStyle w:val="ListParagraph"/>
        <w:numPr>
          <w:ilvl w:val="0"/>
          <w:numId w:val="12"/>
        </w:numPr>
        <w:tabs>
          <w:tab w:val="clear" w:pos="567"/>
        </w:tabs>
        <w:snapToGrid/>
        <w:spacing w:after="200" w:line="276" w:lineRule="auto"/>
        <w:rPr>
          <w:rFonts w:ascii="Arial" w:hAnsi="Arial" w:cs="Arial"/>
          <w:sz w:val="22"/>
          <w:szCs w:val="22"/>
        </w:rPr>
      </w:pPr>
      <w:r w:rsidRPr="00BD1133">
        <w:rPr>
          <w:rFonts w:ascii="Arial" w:hAnsi="Arial" w:cs="Arial"/>
          <w:sz w:val="22"/>
          <w:szCs w:val="22"/>
        </w:rPr>
        <w:t>Which institutions can lead regional research or support capacity building?</w:t>
      </w:r>
    </w:p>
    <w:p w14:paraId="79C1FF48"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4. Proposed Activities for 2026–2027</w:t>
      </w:r>
    </w:p>
    <w:p w14:paraId="226B6518" w14:textId="77777777" w:rsidR="00BD1133" w:rsidRPr="00BD1133" w:rsidRDefault="00BD1133" w:rsidP="00BD1133">
      <w:pPr>
        <w:rPr>
          <w:rFonts w:ascii="Arial" w:hAnsi="Arial" w:cs="Arial"/>
          <w:sz w:val="22"/>
          <w:szCs w:val="22"/>
        </w:rPr>
      </w:pPr>
      <w:r w:rsidRPr="00BD1133">
        <w:rPr>
          <w:rFonts w:ascii="Arial" w:hAnsi="Arial" w:cs="Arial"/>
          <w:noProof/>
          <w:sz w:val="22"/>
          <w:szCs w:val="22"/>
        </w:rPr>
        <w:drawing>
          <wp:inline distT="0" distB="0" distL="0" distR="0" wp14:anchorId="3D792C75" wp14:editId="6CAB6A67">
            <wp:extent cx="5486400" cy="3657600"/>
            <wp:effectExtent l="0" t="0" r="0" b="0"/>
            <wp:docPr id="1529210592" name="Picture 15292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n_Biodiversity_Implementation_Pathway.png"/>
                    <pic:cNvPicPr/>
                  </pic:nvPicPr>
                  <pic:blipFill>
                    <a:blip r:embed="rId7"/>
                    <a:stretch>
                      <a:fillRect/>
                    </a:stretch>
                  </pic:blipFill>
                  <pic:spPr>
                    <a:xfrm>
                      <a:off x="0" y="0"/>
                      <a:ext cx="5486400" cy="3657600"/>
                    </a:xfrm>
                    <a:prstGeom prst="rect">
                      <a:avLst/>
                    </a:prstGeom>
                  </pic:spPr>
                </pic:pic>
              </a:graphicData>
            </a:graphic>
          </wp:inline>
        </w:drawing>
      </w:r>
    </w:p>
    <w:p w14:paraId="0D121C5E" w14:textId="43728F3C" w:rsidR="00BD1133" w:rsidRPr="00BD1133" w:rsidRDefault="00BD1133" w:rsidP="00BD1133">
      <w:pPr>
        <w:rPr>
          <w:rFonts w:ascii="Arial" w:hAnsi="Arial" w:cs="Arial"/>
          <w:i/>
          <w:iCs/>
          <w:sz w:val="22"/>
          <w:szCs w:val="22"/>
        </w:rPr>
      </w:pPr>
      <w:r w:rsidRPr="00BD1133">
        <w:rPr>
          <w:rFonts w:ascii="Arial" w:hAnsi="Arial" w:cs="Arial"/>
          <w:i/>
          <w:iCs/>
          <w:sz w:val="22"/>
          <w:szCs w:val="22"/>
        </w:rPr>
        <w:t>Figure</w:t>
      </w:r>
      <w:r w:rsidR="000146FA">
        <w:rPr>
          <w:rFonts w:ascii="Arial" w:hAnsi="Arial" w:cs="Arial"/>
          <w:i/>
          <w:iCs/>
          <w:sz w:val="22"/>
          <w:szCs w:val="22"/>
        </w:rPr>
        <w:t xml:space="preserve"> 1</w:t>
      </w:r>
      <w:r w:rsidRPr="00BD1133">
        <w:rPr>
          <w:rFonts w:ascii="Arial" w:hAnsi="Arial" w:cs="Arial"/>
          <w:i/>
          <w:iCs/>
          <w:sz w:val="22"/>
          <w:szCs w:val="22"/>
        </w:rPr>
        <w:t>: Suggested implementation pathway for regional biodiversity and ecosystem assessment activities.</w:t>
      </w:r>
    </w:p>
    <w:p w14:paraId="0AD7030A" w14:textId="77777777" w:rsidR="00BD1133" w:rsidRPr="00BD1133" w:rsidRDefault="00BD1133" w:rsidP="00BD1133">
      <w:pPr>
        <w:rPr>
          <w:rFonts w:ascii="Arial" w:hAnsi="Arial" w:cs="Arial"/>
          <w:sz w:val="22"/>
          <w:szCs w:val="22"/>
        </w:rPr>
      </w:pPr>
      <w:r w:rsidRPr="00BD1133">
        <w:rPr>
          <w:rFonts w:ascii="Arial" w:hAnsi="Arial" w:cs="Arial"/>
          <w:sz w:val="22"/>
          <w:szCs w:val="22"/>
        </w:rPr>
        <w:lastRenderedPageBreak/>
        <w:t>These activities should also support the implementation of relevant global and regional frameworks, including the CBD Kunming-Montreal Global Biodiversity Framework, the BBNJ Agreement, the African Union Action Plan on Biodiversity, the IOC Criteria and Guidelines on the Transfer of Marine Technology, and the Decade of Ocean Science. Alignment with these processes will help ensure coherence, attract funding, and foster cross-regional collaboration. The working group is encouraged to explore implementation pathways that leverage national focal points, existing regional scientific bodies, and multi-country platforms to coordinate data flows, standardize methodologies, and provide technical backstopping for policy alignment. Where applicable, countries should be supported in establishing or strengthening cross-ministerial mechanisms to facilitate coherent implementation of these frameworks across environment, fisheries, culture, and education sectors.</w:t>
      </w:r>
    </w:p>
    <w:p w14:paraId="759C55A5" w14:textId="77777777" w:rsidR="00BD1133" w:rsidRPr="00BD1133" w:rsidRDefault="00BD1133" w:rsidP="00BD1133">
      <w:pPr>
        <w:pStyle w:val="Heading2"/>
        <w:rPr>
          <w:rFonts w:ascii="Arial" w:hAnsi="Arial" w:cs="Arial"/>
          <w:color w:val="auto"/>
          <w:sz w:val="22"/>
          <w:szCs w:val="22"/>
        </w:rPr>
      </w:pPr>
      <w:r w:rsidRPr="00BD1133">
        <w:rPr>
          <w:rFonts w:ascii="Arial" w:hAnsi="Arial" w:cs="Arial"/>
          <w:color w:val="auto"/>
          <w:sz w:val="22"/>
          <w:szCs w:val="22"/>
        </w:rPr>
        <w:t>Research &amp; Monitoring</w:t>
      </w:r>
    </w:p>
    <w:p w14:paraId="098E91EE" w14:textId="77777777" w:rsidR="00BD1133" w:rsidRPr="00BD1133" w:rsidRDefault="00BD1133" w:rsidP="00BD1133">
      <w:pPr>
        <w:pStyle w:val="ListParagraph"/>
        <w:numPr>
          <w:ilvl w:val="0"/>
          <w:numId w:val="13"/>
        </w:numPr>
        <w:tabs>
          <w:tab w:val="clear" w:pos="567"/>
        </w:tabs>
        <w:snapToGrid/>
        <w:spacing w:after="200" w:line="276" w:lineRule="auto"/>
        <w:rPr>
          <w:rFonts w:ascii="Arial" w:hAnsi="Arial" w:cs="Arial"/>
          <w:sz w:val="22"/>
          <w:szCs w:val="22"/>
        </w:rPr>
      </w:pPr>
      <w:r w:rsidRPr="00BD1133">
        <w:rPr>
          <w:rFonts w:ascii="Arial" w:hAnsi="Arial" w:cs="Arial"/>
          <w:sz w:val="22"/>
          <w:szCs w:val="22"/>
        </w:rPr>
        <w:t>Design and implement a comprehensive regional survey to assess the status and trends in marine pollution and ecosystem health, including the identification of pollution hotspots, drivers of degradation, and ecosystem stressors, with a view to informing national and regional management interventions.</w:t>
      </w:r>
    </w:p>
    <w:p w14:paraId="3D811C05" w14:textId="77777777" w:rsidR="00BD1133" w:rsidRPr="00BD1133" w:rsidRDefault="00BD1133" w:rsidP="00BD1133">
      <w:pPr>
        <w:pStyle w:val="ListParagraph"/>
        <w:numPr>
          <w:ilvl w:val="0"/>
          <w:numId w:val="13"/>
        </w:numPr>
        <w:tabs>
          <w:tab w:val="clear" w:pos="567"/>
        </w:tabs>
        <w:snapToGrid/>
        <w:spacing w:after="200" w:line="276" w:lineRule="auto"/>
        <w:rPr>
          <w:rFonts w:ascii="Arial" w:hAnsi="Arial" w:cs="Arial"/>
          <w:sz w:val="22"/>
          <w:szCs w:val="22"/>
        </w:rPr>
      </w:pPr>
      <w:r w:rsidRPr="00BD1133">
        <w:rPr>
          <w:rFonts w:ascii="Arial" w:hAnsi="Arial" w:cs="Arial"/>
          <w:sz w:val="22"/>
          <w:szCs w:val="22"/>
        </w:rPr>
        <w:t>Establish long-term ecological monitoring sites in representative marine habitats.</w:t>
      </w:r>
    </w:p>
    <w:p w14:paraId="1D1CCD60" w14:textId="77777777" w:rsidR="00BD1133" w:rsidRPr="00BD1133" w:rsidRDefault="00BD1133" w:rsidP="00BD1133">
      <w:pPr>
        <w:pStyle w:val="ListParagraph"/>
        <w:numPr>
          <w:ilvl w:val="0"/>
          <w:numId w:val="13"/>
        </w:numPr>
        <w:tabs>
          <w:tab w:val="clear" w:pos="567"/>
        </w:tabs>
        <w:snapToGrid/>
        <w:spacing w:after="200" w:line="276" w:lineRule="auto"/>
        <w:rPr>
          <w:rFonts w:ascii="Arial" w:hAnsi="Arial" w:cs="Arial"/>
          <w:sz w:val="22"/>
          <w:szCs w:val="22"/>
        </w:rPr>
      </w:pPr>
      <w:r w:rsidRPr="00BD1133">
        <w:rPr>
          <w:rFonts w:ascii="Arial" w:hAnsi="Arial" w:cs="Arial"/>
          <w:sz w:val="22"/>
          <w:szCs w:val="22"/>
        </w:rPr>
        <w:t>Develop a harmonized biodiversity database for Africa’s coastal and marine species.</w:t>
      </w:r>
    </w:p>
    <w:p w14:paraId="74FFA261" w14:textId="77777777" w:rsidR="00BD1133" w:rsidRPr="00BD1133" w:rsidRDefault="00BD1133" w:rsidP="00BD1133">
      <w:pPr>
        <w:pStyle w:val="Heading2"/>
        <w:rPr>
          <w:rFonts w:ascii="Arial" w:hAnsi="Arial" w:cs="Arial"/>
          <w:color w:val="auto"/>
          <w:sz w:val="22"/>
          <w:szCs w:val="22"/>
        </w:rPr>
      </w:pPr>
      <w:r w:rsidRPr="00BD1133">
        <w:rPr>
          <w:rFonts w:ascii="Arial" w:hAnsi="Arial" w:cs="Arial"/>
          <w:color w:val="auto"/>
          <w:sz w:val="22"/>
          <w:szCs w:val="22"/>
        </w:rPr>
        <w:t>Capacity Building</w:t>
      </w:r>
    </w:p>
    <w:p w14:paraId="0E056086" w14:textId="77777777" w:rsidR="00BD1133" w:rsidRPr="00BD1133" w:rsidRDefault="00BD1133" w:rsidP="00BD1133">
      <w:pPr>
        <w:pStyle w:val="ListParagraph"/>
        <w:numPr>
          <w:ilvl w:val="0"/>
          <w:numId w:val="14"/>
        </w:numPr>
        <w:tabs>
          <w:tab w:val="clear" w:pos="567"/>
        </w:tabs>
        <w:snapToGrid/>
        <w:spacing w:after="200" w:line="276" w:lineRule="auto"/>
        <w:rPr>
          <w:rFonts w:ascii="Arial" w:hAnsi="Arial" w:cs="Arial"/>
          <w:sz w:val="22"/>
          <w:szCs w:val="22"/>
        </w:rPr>
      </w:pPr>
      <w:r w:rsidRPr="00BD1133">
        <w:rPr>
          <w:rFonts w:ascii="Arial" w:hAnsi="Arial" w:cs="Arial"/>
          <w:sz w:val="22"/>
          <w:szCs w:val="22"/>
        </w:rPr>
        <w:t>Training on ecosystem assessment methodologies, indicator development, and SDG 14 reporting.</w:t>
      </w:r>
    </w:p>
    <w:p w14:paraId="7F549CC3" w14:textId="77777777" w:rsidR="00BD1133" w:rsidRPr="00BD1133" w:rsidRDefault="00BD1133" w:rsidP="00BD1133">
      <w:pPr>
        <w:pStyle w:val="ListParagraph"/>
        <w:numPr>
          <w:ilvl w:val="0"/>
          <w:numId w:val="14"/>
        </w:numPr>
        <w:tabs>
          <w:tab w:val="clear" w:pos="567"/>
        </w:tabs>
        <w:snapToGrid/>
        <w:spacing w:after="200" w:line="276" w:lineRule="auto"/>
        <w:rPr>
          <w:rFonts w:ascii="Arial" w:hAnsi="Arial" w:cs="Arial"/>
          <w:sz w:val="22"/>
          <w:szCs w:val="22"/>
        </w:rPr>
      </w:pPr>
      <w:r w:rsidRPr="00BD1133">
        <w:rPr>
          <w:rFonts w:ascii="Arial" w:hAnsi="Arial" w:cs="Arial"/>
          <w:sz w:val="22"/>
          <w:szCs w:val="22"/>
        </w:rPr>
        <w:t>Technical workshops on blue carbon mapping and valuation.</w:t>
      </w:r>
    </w:p>
    <w:p w14:paraId="6C0EEBDC" w14:textId="77777777" w:rsidR="00BD1133" w:rsidRPr="00BD1133" w:rsidRDefault="00BD1133" w:rsidP="00BD1133">
      <w:pPr>
        <w:pStyle w:val="ListParagraph"/>
        <w:numPr>
          <w:ilvl w:val="0"/>
          <w:numId w:val="14"/>
        </w:numPr>
        <w:tabs>
          <w:tab w:val="clear" w:pos="567"/>
        </w:tabs>
        <w:snapToGrid/>
        <w:spacing w:after="200" w:line="276" w:lineRule="auto"/>
        <w:rPr>
          <w:rFonts w:ascii="Arial" w:hAnsi="Arial" w:cs="Arial"/>
          <w:sz w:val="22"/>
          <w:szCs w:val="22"/>
        </w:rPr>
      </w:pPr>
      <w:r w:rsidRPr="00BD1133">
        <w:rPr>
          <w:rFonts w:ascii="Arial" w:hAnsi="Arial" w:cs="Arial"/>
          <w:sz w:val="22"/>
          <w:szCs w:val="22"/>
        </w:rPr>
        <w:t>Training programme on BBNJ treaty science and implications for African countries.</w:t>
      </w:r>
    </w:p>
    <w:p w14:paraId="137B3D0D" w14:textId="77777777" w:rsidR="00BD1133" w:rsidRPr="00BD1133" w:rsidRDefault="00BD1133" w:rsidP="00BD1133">
      <w:pPr>
        <w:pStyle w:val="Heading2"/>
        <w:rPr>
          <w:rFonts w:ascii="Arial" w:hAnsi="Arial" w:cs="Arial"/>
          <w:color w:val="auto"/>
          <w:sz w:val="22"/>
          <w:szCs w:val="22"/>
        </w:rPr>
      </w:pPr>
      <w:r w:rsidRPr="00BD1133">
        <w:rPr>
          <w:rFonts w:ascii="Arial" w:hAnsi="Arial" w:cs="Arial"/>
          <w:color w:val="auto"/>
          <w:sz w:val="22"/>
          <w:szCs w:val="22"/>
        </w:rPr>
        <w:t>Policy and Technical Support</w:t>
      </w:r>
    </w:p>
    <w:p w14:paraId="79E1E560" w14:textId="77777777" w:rsidR="00BD1133" w:rsidRPr="00BD1133" w:rsidRDefault="00BD1133" w:rsidP="00BD1133">
      <w:pPr>
        <w:pStyle w:val="ListParagraph"/>
        <w:numPr>
          <w:ilvl w:val="0"/>
          <w:numId w:val="15"/>
        </w:numPr>
        <w:tabs>
          <w:tab w:val="clear" w:pos="567"/>
        </w:tabs>
        <w:snapToGrid/>
        <w:spacing w:after="200" w:line="276" w:lineRule="auto"/>
        <w:rPr>
          <w:rFonts w:ascii="Arial" w:hAnsi="Arial" w:cs="Arial"/>
          <w:sz w:val="22"/>
          <w:szCs w:val="22"/>
        </w:rPr>
      </w:pPr>
      <w:r w:rsidRPr="00BD1133">
        <w:rPr>
          <w:rFonts w:ascii="Arial" w:hAnsi="Arial" w:cs="Arial"/>
          <w:sz w:val="22"/>
          <w:szCs w:val="22"/>
        </w:rPr>
        <w:t>Develop regional guidance for mainstreaming biodiversity into coastal development and spatial planning.</w:t>
      </w:r>
    </w:p>
    <w:p w14:paraId="6A2982EB" w14:textId="77777777" w:rsidR="00BD1133" w:rsidRPr="00BD1133" w:rsidRDefault="00BD1133" w:rsidP="00BD1133">
      <w:pPr>
        <w:pStyle w:val="ListParagraph"/>
        <w:numPr>
          <w:ilvl w:val="0"/>
          <w:numId w:val="15"/>
        </w:numPr>
        <w:tabs>
          <w:tab w:val="clear" w:pos="567"/>
        </w:tabs>
        <w:snapToGrid/>
        <w:spacing w:after="200" w:line="276" w:lineRule="auto"/>
        <w:rPr>
          <w:rFonts w:ascii="Arial" w:hAnsi="Arial" w:cs="Arial"/>
          <w:sz w:val="22"/>
          <w:szCs w:val="22"/>
        </w:rPr>
      </w:pPr>
      <w:r w:rsidRPr="00BD1133">
        <w:rPr>
          <w:rFonts w:ascii="Arial" w:hAnsi="Arial" w:cs="Arial"/>
          <w:sz w:val="22"/>
          <w:szCs w:val="22"/>
        </w:rPr>
        <w:t>Produce technical briefs for decision-makers on HABs, invasive species, and ecosystem tipping points.</w:t>
      </w:r>
    </w:p>
    <w:p w14:paraId="559052B4" w14:textId="77777777" w:rsidR="00BD1133" w:rsidRPr="00BD1133" w:rsidRDefault="00BD1133" w:rsidP="00BD1133">
      <w:pPr>
        <w:pStyle w:val="Heading2"/>
        <w:rPr>
          <w:rFonts w:ascii="Arial" w:hAnsi="Arial" w:cs="Arial"/>
          <w:color w:val="auto"/>
          <w:sz w:val="22"/>
          <w:szCs w:val="22"/>
        </w:rPr>
      </w:pPr>
      <w:r w:rsidRPr="00BD1133">
        <w:rPr>
          <w:rFonts w:ascii="Arial" w:hAnsi="Arial" w:cs="Arial"/>
          <w:color w:val="auto"/>
          <w:sz w:val="22"/>
          <w:szCs w:val="22"/>
        </w:rPr>
        <w:t>Tools &amp; Communication</w:t>
      </w:r>
    </w:p>
    <w:p w14:paraId="1CC19B5C" w14:textId="77777777" w:rsidR="00BD1133" w:rsidRPr="00BD1133" w:rsidRDefault="00BD1133" w:rsidP="00BD1133">
      <w:pPr>
        <w:pStyle w:val="ListParagraph"/>
        <w:numPr>
          <w:ilvl w:val="0"/>
          <w:numId w:val="16"/>
        </w:numPr>
        <w:tabs>
          <w:tab w:val="clear" w:pos="567"/>
        </w:tabs>
        <w:snapToGrid/>
        <w:spacing w:after="200" w:line="276" w:lineRule="auto"/>
        <w:rPr>
          <w:rFonts w:ascii="Arial" w:hAnsi="Arial" w:cs="Arial"/>
          <w:sz w:val="22"/>
          <w:szCs w:val="22"/>
        </w:rPr>
      </w:pPr>
      <w:r w:rsidRPr="00BD1133">
        <w:rPr>
          <w:rFonts w:ascii="Arial" w:hAnsi="Arial" w:cs="Arial"/>
          <w:sz w:val="22"/>
          <w:szCs w:val="22"/>
        </w:rPr>
        <w:t>Develop a digital atlas of African MPAs and OECMs with biodiversity indicators.</w:t>
      </w:r>
    </w:p>
    <w:p w14:paraId="4A71D557" w14:textId="77777777" w:rsidR="00BD1133" w:rsidRPr="00BD1133" w:rsidRDefault="00BD1133" w:rsidP="00BD1133">
      <w:pPr>
        <w:pStyle w:val="ListParagraph"/>
        <w:numPr>
          <w:ilvl w:val="0"/>
          <w:numId w:val="16"/>
        </w:numPr>
        <w:tabs>
          <w:tab w:val="clear" w:pos="567"/>
        </w:tabs>
        <w:snapToGrid/>
        <w:spacing w:after="200" w:line="276" w:lineRule="auto"/>
        <w:rPr>
          <w:rFonts w:ascii="Arial" w:hAnsi="Arial" w:cs="Arial"/>
          <w:sz w:val="22"/>
          <w:szCs w:val="22"/>
        </w:rPr>
      </w:pPr>
      <w:r w:rsidRPr="00BD1133">
        <w:rPr>
          <w:rFonts w:ascii="Arial" w:hAnsi="Arial" w:cs="Arial"/>
          <w:sz w:val="22"/>
          <w:szCs w:val="22"/>
        </w:rPr>
        <w:t>Promote citizen science for biodiversity observation and habitat monitoring.</w:t>
      </w:r>
    </w:p>
    <w:p w14:paraId="0C1237EF" w14:textId="77777777" w:rsidR="00BD1133" w:rsidRPr="00BD1133" w:rsidRDefault="00BD1133" w:rsidP="00BD1133">
      <w:pPr>
        <w:pStyle w:val="ListParagraph"/>
        <w:numPr>
          <w:ilvl w:val="0"/>
          <w:numId w:val="16"/>
        </w:numPr>
        <w:tabs>
          <w:tab w:val="clear" w:pos="567"/>
        </w:tabs>
        <w:snapToGrid/>
        <w:spacing w:after="200" w:line="276" w:lineRule="auto"/>
        <w:rPr>
          <w:rFonts w:ascii="Arial" w:hAnsi="Arial" w:cs="Arial"/>
          <w:sz w:val="22"/>
          <w:szCs w:val="22"/>
        </w:rPr>
      </w:pPr>
      <w:r w:rsidRPr="00BD1133">
        <w:rPr>
          <w:rFonts w:ascii="Arial" w:hAnsi="Arial" w:cs="Arial"/>
          <w:sz w:val="22"/>
          <w:szCs w:val="22"/>
        </w:rPr>
        <w:t>Integrate marine biodiversity and underwater cultural heritage in school curricula and awareness campaigns.</w:t>
      </w:r>
    </w:p>
    <w:p w14:paraId="31F890AF" w14:textId="77777777" w:rsidR="00BD1133" w:rsidRPr="00BD1133" w:rsidRDefault="00BD1133" w:rsidP="00BD1133">
      <w:pPr>
        <w:pStyle w:val="Heading2"/>
        <w:rPr>
          <w:rFonts w:ascii="Arial" w:hAnsi="Arial" w:cs="Arial"/>
          <w:color w:val="auto"/>
          <w:sz w:val="22"/>
          <w:szCs w:val="22"/>
        </w:rPr>
      </w:pPr>
      <w:r w:rsidRPr="00BD1133">
        <w:rPr>
          <w:rFonts w:ascii="Arial" w:hAnsi="Arial" w:cs="Arial"/>
          <w:color w:val="auto"/>
          <w:sz w:val="22"/>
          <w:szCs w:val="22"/>
        </w:rPr>
        <w:t>Pilot Actions &amp; Projects</w:t>
      </w:r>
    </w:p>
    <w:p w14:paraId="27D360A5" w14:textId="77777777" w:rsidR="00BD1133" w:rsidRPr="00BD1133" w:rsidRDefault="00BD1133" w:rsidP="00BD1133">
      <w:pPr>
        <w:pStyle w:val="ListParagraph"/>
        <w:numPr>
          <w:ilvl w:val="0"/>
          <w:numId w:val="17"/>
        </w:numPr>
        <w:tabs>
          <w:tab w:val="clear" w:pos="567"/>
        </w:tabs>
        <w:snapToGrid/>
        <w:spacing w:after="200" w:line="276" w:lineRule="auto"/>
        <w:rPr>
          <w:rFonts w:ascii="Arial" w:hAnsi="Arial" w:cs="Arial"/>
          <w:sz w:val="22"/>
          <w:szCs w:val="22"/>
        </w:rPr>
      </w:pPr>
      <w:r w:rsidRPr="00BD1133">
        <w:rPr>
          <w:rFonts w:ascii="Arial" w:hAnsi="Arial" w:cs="Arial"/>
          <w:sz w:val="22"/>
          <w:szCs w:val="22"/>
        </w:rPr>
        <w:t>Launch a pilot project on restoring degraded blue carbon ecosystems (e.g., mangrove rehabilitation).</w:t>
      </w:r>
    </w:p>
    <w:p w14:paraId="732F4FF6" w14:textId="77777777" w:rsidR="00BD1133" w:rsidRPr="00BD1133" w:rsidRDefault="00BD1133" w:rsidP="00BD1133">
      <w:pPr>
        <w:pStyle w:val="ListParagraph"/>
        <w:numPr>
          <w:ilvl w:val="0"/>
          <w:numId w:val="17"/>
        </w:numPr>
        <w:tabs>
          <w:tab w:val="clear" w:pos="567"/>
        </w:tabs>
        <w:snapToGrid/>
        <w:spacing w:after="200" w:line="276" w:lineRule="auto"/>
        <w:rPr>
          <w:rFonts w:ascii="Arial" w:hAnsi="Arial" w:cs="Arial"/>
          <w:sz w:val="22"/>
          <w:szCs w:val="22"/>
        </w:rPr>
      </w:pPr>
      <w:r w:rsidRPr="00BD1133">
        <w:rPr>
          <w:rFonts w:ascii="Arial" w:hAnsi="Arial" w:cs="Arial"/>
          <w:sz w:val="22"/>
          <w:szCs w:val="22"/>
        </w:rPr>
        <w:t>Support a multi-country State of the Ocean report with harmonized methodology and national inputs.</w:t>
      </w:r>
    </w:p>
    <w:p w14:paraId="791B8F25"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5. Coordination with Other WGs</w:t>
      </w:r>
    </w:p>
    <w:p w14:paraId="314F652B" w14:textId="77777777" w:rsidR="00BD1133" w:rsidRPr="00BD1133" w:rsidRDefault="00BD1133" w:rsidP="00BD1133">
      <w:pPr>
        <w:pStyle w:val="ListParagraph"/>
        <w:numPr>
          <w:ilvl w:val="0"/>
          <w:numId w:val="18"/>
        </w:numPr>
        <w:tabs>
          <w:tab w:val="clear" w:pos="567"/>
        </w:tabs>
        <w:snapToGrid/>
        <w:spacing w:after="200" w:line="276" w:lineRule="auto"/>
        <w:rPr>
          <w:rFonts w:ascii="Arial" w:hAnsi="Arial" w:cs="Arial"/>
          <w:sz w:val="22"/>
          <w:szCs w:val="22"/>
        </w:rPr>
      </w:pPr>
      <w:r w:rsidRPr="00BD1133">
        <w:rPr>
          <w:rFonts w:ascii="Arial" w:hAnsi="Arial" w:cs="Arial"/>
          <w:sz w:val="22"/>
          <w:szCs w:val="22"/>
        </w:rPr>
        <w:t>Collaborate with WG 5.2.1 on environmental monitoring for biodiversity.</w:t>
      </w:r>
    </w:p>
    <w:p w14:paraId="4DE8FDA9" w14:textId="77777777" w:rsidR="00BD1133" w:rsidRPr="00BD1133" w:rsidRDefault="00BD1133" w:rsidP="00BD1133">
      <w:pPr>
        <w:pStyle w:val="ListParagraph"/>
        <w:numPr>
          <w:ilvl w:val="0"/>
          <w:numId w:val="18"/>
        </w:numPr>
        <w:tabs>
          <w:tab w:val="clear" w:pos="567"/>
        </w:tabs>
        <w:snapToGrid/>
        <w:spacing w:after="200" w:line="276" w:lineRule="auto"/>
        <w:rPr>
          <w:rFonts w:ascii="Arial" w:hAnsi="Arial" w:cs="Arial"/>
          <w:sz w:val="22"/>
          <w:szCs w:val="22"/>
        </w:rPr>
      </w:pPr>
      <w:r w:rsidRPr="00BD1133">
        <w:rPr>
          <w:rFonts w:ascii="Arial" w:hAnsi="Arial" w:cs="Arial"/>
          <w:sz w:val="22"/>
          <w:szCs w:val="22"/>
        </w:rPr>
        <w:t>Align with WG 5.2.3 on biodiversity data sharing and digital platforms.</w:t>
      </w:r>
    </w:p>
    <w:p w14:paraId="7E580A77" w14:textId="77777777" w:rsidR="00BD1133" w:rsidRPr="00BD1133" w:rsidRDefault="00BD1133" w:rsidP="00BD1133">
      <w:pPr>
        <w:pStyle w:val="ListParagraph"/>
        <w:numPr>
          <w:ilvl w:val="0"/>
          <w:numId w:val="18"/>
        </w:numPr>
        <w:tabs>
          <w:tab w:val="clear" w:pos="567"/>
        </w:tabs>
        <w:snapToGrid/>
        <w:spacing w:after="200" w:line="276" w:lineRule="auto"/>
        <w:rPr>
          <w:rFonts w:ascii="Arial" w:hAnsi="Arial" w:cs="Arial"/>
          <w:sz w:val="22"/>
          <w:szCs w:val="22"/>
        </w:rPr>
      </w:pPr>
      <w:r w:rsidRPr="00BD1133">
        <w:rPr>
          <w:rFonts w:ascii="Arial" w:hAnsi="Arial" w:cs="Arial"/>
          <w:sz w:val="22"/>
          <w:szCs w:val="22"/>
        </w:rPr>
        <w:t>Coordinate with WG 5.2.4 on training and funding opportunities.</w:t>
      </w:r>
    </w:p>
    <w:p w14:paraId="129681C7"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lastRenderedPageBreak/>
        <w:t>6. Monitoring &amp; Evaluation Considerations</w:t>
      </w:r>
    </w:p>
    <w:p w14:paraId="32FD5D3A" w14:textId="77777777" w:rsidR="00BD1133" w:rsidRPr="00BD1133" w:rsidRDefault="00BD1133" w:rsidP="00BD1133">
      <w:pPr>
        <w:pStyle w:val="ListParagraph"/>
        <w:numPr>
          <w:ilvl w:val="0"/>
          <w:numId w:val="19"/>
        </w:numPr>
        <w:tabs>
          <w:tab w:val="clear" w:pos="567"/>
        </w:tabs>
        <w:snapToGrid/>
        <w:spacing w:after="200" w:line="276" w:lineRule="auto"/>
        <w:rPr>
          <w:rFonts w:ascii="Arial" w:hAnsi="Arial" w:cs="Arial"/>
          <w:sz w:val="22"/>
          <w:szCs w:val="22"/>
        </w:rPr>
      </w:pPr>
      <w:r w:rsidRPr="00BD1133">
        <w:rPr>
          <w:rFonts w:ascii="Arial" w:hAnsi="Arial" w:cs="Arial"/>
          <w:sz w:val="22"/>
          <w:szCs w:val="22"/>
        </w:rPr>
        <w:t>Number of ecosystem assessments completed and published.</w:t>
      </w:r>
    </w:p>
    <w:p w14:paraId="3CEE3ACF" w14:textId="77777777" w:rsidR="00BD1133" w:rsidRPr="00BD1133" w:rsidRDefault="00BD1133" w:rsidP="00BD1133">
      <w:pPr>
        <w:pStyle w:val="ListParagraph"/>
        <w:numPr>
          <w:ilvl w:val="0"/>
          <w:numId w:val="19"/>
        </w:numPr>
        <w:tabs>
          <w:tab w:val="clear" w:pos="567"/>
        </w:tabs>
        <w:snapToGrid/>
        <w:spacing w:after="200" w:line="276" w:lineRule="auto"/>
        <w:rPr>
          <w:rFonts w:ascii="Arial" w:hAnsi="Arial" w:cs="Arial"/>
          <w:sz w:val="22"/>
          <w:szCs w:val="22"/>
        </w:rPr>
      </w:pPr>
      <w:r w:rsidRPr="00BD1133">
        <w:rPr>
          <w:rFonts w:ascii="Arial" w:hAnsi="Arial" w:cs="Arial"/>
          <w:sz w:val="22"/>
          <w:szCs w:val="22"/>
        </w:rPr>
        <w:t>Area of blue carbon ecosystems mapped or restored.</w:t>
      </w:r>
    </w:p>
    <w:p w14:paraId="1A52EEA5" w14:textId="77777777" w:rsidR="00BD1133" w:rsidRPr="00BD1133" w:rsidRDefault="00BD1133" w:rsidP="00BD1133">
      <w:pPr>
        <w:pStyle w:val="ListParagraph"/>
        <w:numPr>
          <w:ilvl w:val="0"/>
          <w:numId w:val="19"/>
        </w:numPr>
        <w:tabs>
          <w:tab w:val="clear" w:pos="567"/>
        </w:tabs>
        <w:snapToGrid/>
        <w:spacing w:after="200" w:line="276" w:lineRule="auto"/>
        <w:rPr>
          <w:rFonts w:ascii="Arial" w:hAnsi="Arial" w:cs="Arial"/>
          <w:sz w:val="22"/>
          <w:szCs w:val="22"/>
        </w:rPr>
      </w:pPr>
      <w:r w:rsidRPr="00BD1133">
        <w:rPr>
          <w:rFonts w:ascii="Arial" w:hAnsi="Arial" w:cs="Arial"/>
          <w:sz w:val="22"/>
          <w:szCs w:val="22"/>
        </w:rPr>
        <w:t>Number of professionals trained on biodiversity monitoring and BBNJ.</w:t>
      </w:r>
    </w:p>
    <w:p w14:paraId="7A99E271" w14:textId="77777777" w:rsidR="00BD1133" w:rsidRPr="00BD1133" w:rsidRDefault="00BD1133" w:rsidP="00BD1133">
      <w:pPr>
        <w:pStyle w:val="ListParagraph"/>
        <w:numPr>
          <w:ilvl w:val="0"/>
          <w:numId w:val="19"/>
        </w:numPr>
        <w:tabs>
          <w:tab w:val="clear" w:pos="567"/>
        </w:tabs>
        <w:snapToGrid/>
        <w:spacing w:after="200" w:line="276" w:lineRule="auto"/>
        <w:rPr>
          <w:rFonts w:ascii="Arial" w:hAnsi="Arial" w:cs="Arial"/>
          <w:sz w:val="22"/>
          <w:szCs w:val="22"/>
        </w:rPr>
      </w:pPr>
      <w:r w:rsidRPr="00BD1133">
        <w:rPr>
          <w:rFonts w:ascii="Arial" w:hAnsi="Arial" w:cs="Arial"/>
          <w:sz w:val="22"/>
          <w:szCs w:val="22"/>
        </w:rPr>
        <w:t>Integration of biodiversity data into regional and global databases (e.g., ODIS, OBIS).</w:t>
      </w:r>
    </w:p>
    <w:p w14:paraId="7C90F339" w14:textId="77777777" w:rsidR="00BD1133" w:rsidRPr="00BD1133" w:rsidRDefault="00BD1133" w:rsidP="00BD1133">
      <w:pPr>
        <w:pStyle w:val="Heading1"/>
        <w:rPr>
          <w:rFonts w:ascii="Arial" w:hAnsi="Arial" w:cs="Arial"/>
          <w:color w:val="auto"/>
          <w:sz w:val="22"/>
          <w:szCs w:val="22"/>
        </w:rPr>
      </w:pPr>
      <w:r w:rsidRPr="00BD1133">
        <w:rPr>
          <w:rFonts w:ascii="Arial" w:hAnsi="Arial" w:cs="Arial"/>
          <w:color w:val="auto"/>
          <w:sz w:val="22"/>
          <w:szCs w:val="22"/>
        </w:rPr>
        <w:t>7. Expected Outputs from the WG</w:t>
      </w:r>
    </w:p>
    <w:p w14:paraId="5FCFBA61" w14:textId="77777777" w:rsidR="00BD1133" w:rsidRPr="00BD1133" w:rsidRDefault="00BD1133" w:rsidP="00BD1133">
      <w:pPr>
        <w:pStyle w:val="ListParagraph"/>
        <w:numPr>
          <w:ilvl w:val="1"/>
          <w:numId w:val="20"/>
        </w:numPr>
        <w:tabs>
          <w:tab w:val="clear" w:pos="567"/>
        </w:tabs>
        <w:snapToGrid/>
        <w:spacing w:after="200" w:line="276" w:lineRule="auto"/>
        <w:rPr>
          <w:rFonts w:ascii="Arial" w:hAnsi="Arial" w:cs="Arial"/>
          <w:sz w:val="22"/>
          <w:szCs w:val="22"/>
        </w:rPr>
      </w:pPr>
      <w:r w:rsidRPr="00BD1133">
        <w:rPr>
          <w:rFonts w:ascii="Arial" w:hAnsi="Arial" w:cs="Arial"/>
          <w:sz w:val="22"/>
          <w:szCs w:val="22"/>
        </w:rPr>
        <w:t>List of priority assessments, research areas, and capacity gaps.</w:t>
      </w:r>
    </w:p>
    <w:p w14:paraId="3F2E1200" w14:textId="77777777" w:rsidR="00BD1133" w:rsidRPr="00BD1133" w:rsidRDefault="00BD1133" w:rsidP="00BD1133">
      <w:pPr>
        <w:pStyle w:val="ListParagraph"/>
        <w:numPr>
          <w:ilvl w:val="1"/>
          <w:numId w:val="20"/>
        </w:numPr>
        <w:tabs>
          <w:tab w:val="clear" w:pos="567"/>
        </w:tabs>
        <w:snapToGrid/>
        <w:spacing w:after="200" w:line="276" w:lineRule="auto"/>
        <w:rPr>
          <w:rFonts w:ascii="Arial" w:hAnsi="Arial" w:cs="Arial"/>
          <w:sz w:val="22"/>
          <w:szCs w:val="22"/>
        </w:rPr>
      </w:pPr>
      <w:r w:rsidRPr="00BD1133">
        <w:rPr>
          <w:rFonts w:ascii="Arial" w:hAnsi="Arial" w:cs="Arial"/>
          <w:sz w:val="22"/>
          <w:szCs w:val="22"/>
        </w:rPr>
        <w:t>Recommendations for incorporating biodiversity in IOCAFRICA’s strategic plan.</w:t>
      </w:r>
    </w:p>
    <w:p w14:paraId="65756004" w14:textId="77777777" w:rsidR="00BD1133" w:rsidRPr="00BD1133" w:rsidRDefault="00BD1133" w:rsidP="00BD1133">
      <w:pPr>
        <w:pStyle w:val="ListParagraph"/>
        <w:numPr>
          <w:ilvl w:val="1"/>
          <w:numId w:val="20"/>
        </w:numPr>
        <w:tabs>
          <w:tab w:val="clear" w:pos="567"/>
        </w:tabs>
        <w:snapToGrid/>
        <w:spacing w:after="200" w:line="276" w:lineRule="auto"/>
        <w:rPr>
          <w:rFonts w:ascii="Arial" w:hAnsi="Arial" w:cs="Arial"/>
          <w:sz w:val="22"/>
          <w:szCs w:val="22"/>
        </w:rPr>
      </w:pPr>
      <w:r w:rsidRPr="00BD1133">
        <w:rPr>
          <w:rFonts w:ascii="Arial" w:hAnsi="Arial" w:cs="Arial"/>
          <w:sz w:val="22"/>
          <w:szCs w:val="22"/>
        </w:rPr>
        <w:t>Proposed partnerships with global biodiversity networks and Decade programmes.</w:t>
      </w:r>
    </w:p>
    <w:p w14:paraId="62F1675F" w14:textId="77777777" w:rsidR="00BD1133" w:rsidRPr="00BD1133" w:rsidRDefault="00BD1133" w:rsidP="00BD1133">
      <w:pPr>
        <w:pStyle w:val="ListParagraph"/>
        <w:numPr>
          <w:ilvl w:val="1"/>
          <w:numId w:val="20"/>
        </w:numPr>
        <w:tabs>
          <w:tab w:val="clear" w:pos="567"/>
        </w:tabs>
        <w:snapToGrid/>
        <w:spacing w:after="200" w:line="276" w:lineRule="auto"/>
        <w:rPr>
          <w:rFonts w:ascii="Arial" w:hAnsi="Arial" w:cs="Arial"/>
          <w:sz w:val="22"/>
          <w:szCs w:val="22"/>
        </w:rPr>
      </w:pPr>
      <w:r w:rsidRPr="00BD1133">
        <w:rPr>
          <w:rFonts w:ascii="Arial" w:hAnsi="Arial" w:cs="Arial"/>
          <w:sz w:val="22"/>
          <w:szCs w:val="22"/>
        </w:rPr>
        <w:t>Plan for regional BBNJ capacity development and support tools.</w:t>
      </w:r>
    </w:p>
    <w:p w14:paraId="62179342" w14:textId="77777777" w:rsidR="00BD1133" w:rsidRPr="00BD1133" w:rsidRDefault="00BD1133" w:rsidP="00BD1133">
      <w:pPr>
        <w:pStyle w:val="ListParagraph"/>
        <w:numPr>
          <w:ilvl w:val="1"/>
          <w:numId w:val="20"/>
        </w:numPr>
        <w:tabs>
          <w:tab w:val="clear" w:pos="567"/>
        </w:tabs>
        <w:snapToGrid/>
        <w:spacing w:after="200" w:line="276" w:lineRule="auto"/>
        <w:rPr>
          <w:rFonts w:ascii="Arial" w:hAnsi="Arial" w:cs="Arial"/>
          <w:sz w:val="22"/>
          <w:szCs w:val="22"/>
        </w:rPr>
      </w:pPr>
      <w:r w:rsidRPr="00BD1133">
        <w:rPr>
          <w:rFonts w:ascii="Arial" w:hAnsi="Arial" w:cs="Arial"/>
          <w:sz w:val="22"/>
          <w:szCs w:val="22"/>
        </w:rPr>
        <w:t>Awareness-raising initiatives linking science, heritage, and culture.</w:t>
      </w:r>
    </w:p>
    <w:p w14:paraId="062EEA28" w14:textId="77777777" w:rsidR="00FC5854" w:rsidRPr="00BD1133" w:rsidRDefault="00FC5854" w:rsidP="00BD1133"/>
    <w:sectPr w:rsidR="00FC5854" w:rsidRPr="00BD1133" w:rsidSect="00BD1133">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AFCD" w14:textId="77777777" w:rsidR="00816723" w:rsidRDefault="00816723" w:rsidP="00BD1133">
      <w:r>
        <w:separator/>
      </w:r>
    </w:p>
  </w:endnote>
  <w:endnote w:type="continuationSeparator" w:id="0">
    <w:p w14:paraId="7BB3DD46" w14:textId="77777777" w:rsidR="00816723" w:rsidRDefault="00816723" w:rsidP="00BD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690D" w14:textId="77777777" w:rsidR="007A3CB1" w:rsidRDefault="007A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8841" w14:textId="77777777" w:rsidR="007A3CB1" w:rsidRDefault="007A3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743E" w14:textId="77777777" w:rsidR="007A3CB1" w:rsidRDefault="007A3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2254" w14:textId="77777777" w:rsidR="00816723" w:rsidRDefault="00816723" w:rsidP="00BD1133">
      <w:r>
        <w:separator/>
      </w:r>
    </w:p>
  </w:footnote>
  <w:footnote w:type="continuationSeparator" w:id="0">
    <w:p w14:paraId="70732461" w14:textId="77777777" w:rsidR="00816723" w:rsidRDefault="00816723" w:rsidP="00BD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9443" w14:textId="77777777" w:rsidR="00310B98" w:rsidRPr="00FF54F5" w:rsidRDefault="000146FA"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76519A77" w14:textId="77777777" w:rsidR="00310B98" w:rsidRPr="00D7566D" w:rsidRDefault="00310B9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DD14" w14:textId="0C76BFA1" w:rsidR="00310B98" w:rsidRPr="00DD55DA" w:rsidRDefault="000146FA"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5.2.</w:t>
    </w:r>
    <w:proofErr w:type="gramStart"/>
    <w:r w:rsidR="00BD1133">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5B88FF43" w14:textId="77777777" w:rsidR="00310B98" w:rsidRPr="00DD55DA" w:rsidRDefault="00310B98"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EBEB" w14:textId="6CA3C888" w:rsidR="00310B98" w:rsidRPr="0042612F" w:rsidRDefault="000146FA"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bookmarkEnd w:id="0"/>
    <w:r w:rsidRPr="006566E8">
      <w:rPr>
        <w:rFonts w:ascii="Arial" w:hAnsi="Arial" w:cs="Arial"/>
        <w:b/>
        <w:sz w:val="36"/>
        <w:szCs w:val="36"/>
      </w:rPr>
      <w:t>IOCAFRICA-VIII/5.2</w:t>
    </w:r>
    <w:r>
      <w:rPr>
        <w:rFonts w:ascii="Arial" w:hAnsi="Arial" w:cs="Arial"/>
        <w:b/>
        <w:sz w:val="36"/>
        <w:szCs w:val="36"/>
      </w:rPr>
      <w:t>.</w:t>
    </w:r>
    <w:r w:rsidR="00BD1133">
      <w:rPr>
        <w:rFonts w:ascii="Arial" w:hAnsi="Arial" w:cs="Arial"/>
        <w:b/>
        <w:sz w:val="36"/>
        <w:szCs w:val="36"/>
      </w:rPr>
      <w:t>2</w:t>
    </w:r>
    <w:proofErr w:type="gramStart"/>
    <w:r>
      <w:rPr>
        <w:rFonts w:ascii="Arial" w:hAnsi="Arial" w:cs="Arial"/>
        <w:b/>
        <w:sz w:val="36"/>
        <w:szCs w:val="36"/>
      </w:rPr>
      <w:t>Doc</w:t>
    </w:r>
    <w:r w:rsidRPr="006566E8">
      <w:rPr>
        <w:rFonts w:ascii="Arial" w:hAnsi="Arial" w:cs="Arial"/>
        <w:b/>
        <w:sz w:val="36"/>
        <w:szCs w:val="36"/>
      </w:rPr>
      <w:t>(</w:t>
    </w:r>
    <w:proofErr w:type="gramEnd"/>
    <w:r w:rsidRPr="006566E8">
      <w:rPr>
        <w:rFonts w:ascii="Arial" w:hAnsi="Arial" w:cs="Arial"/>
        <w:b/>
        <w:sz w:val="36"/>
        <w:szCs w:val="36"/>
      </w:rPr>
      <w:t>1)</w:t>
    </w:r>
  </w:p>
  <w:p w14:paraId="25234FD8" w14:textId="77777777" w:rsidR="00310B98" w:rsidRDefault="000146FA"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6FA31669" wp14:editId="5E9FA092">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56BAD128" w14:textId="77777777" w:rsidR="00310B98" w:rsidRPr="00BF254D" w:rsidRDefault="000146FA"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57F6D481" w14:textId="77777777" w:rsidR="00310B98" w:rsidRDefault="00310B98"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3434510" w14:textId="77777777" w:rsidR="00310B98" w:rsidRDefault="00310B98"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BD3561" w14:textId="77777777" w:rsidR="00310B98" w:rsidRDefault="00310B98"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3B5976B" w14:textId="77777777" w:rsidR="00310B98" w:rsidRDefault="00310B98"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87E9ACB" w14:textId="77777777" w:rsidR="00310B98" w:rsidRPr="005E544C" w:rsidRDefault="00310B98"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6C053D0D" w14:textId="77777777" w:rsidR="00310B98" w:rsidRPr="00BF254D" w:rsidRDefault="000146FA"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20041DBA" w14:textId="77777777" w:rsidR="00310B98" w:rsidRPr="00BF254D" w:rsidRDefault="000146FA"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58F521BD" w14:textId="77777777" w:rsidR="00310B98" w:rsidRPr="00BF254D" w:rsidRDefault="00310B98"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4F1C4034" w14:textId="77777777" w:rsidR="00310B98" w:rsidRPr="004322FC" w:rsidRDefault="000146FA"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09D7DDFD" w14:textId="77777777" w:rsidR="00310B98" w:rsidRPr="004322FC" w:rsidRDefault="000146FA"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396BF73F" w14:textId="77777777" w:rsidR="00310B98" w:rsidRPr="004322FC" w:rsidRDefault="00310B98"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7DF8F889" w14:textId="77777777" w:rsidR="00310B98" w:rsidRPr="004322FC" w:rsidRDefault="000146FA"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53639901" w14:textId="77777777" w:rsidR="00310B98" w:rsidRPr="00843E81" w:rsidRDefault="000146FA"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2EF1914F" w14:textId="77777777" w:rsidR="00310B98" w:rsidRPr="00843E81" w:rsidRDefault="00310B98" w:rsidP="00B17054">
    <w:pPr>
      <w:jc w:val="center"/>
      <w:rPr>
        <w:rFonts w:cs="Arial"/>
        <w:szCs w:val="22"/>
        <w:lang w:val="en-US"/>
      </w:rPr>
    </w:pPr>
  </w:p>
  <w:p w14:paraId="0460444B" w14:textId="7E903E02" w:rsidR="00310B98" w:rsidRPr="00FA68D9" w:rsidRDefault="000146FA"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Pr>
        <w:rFonts w:ascii="Arial" w:eastAsia="Times New Roman" w:hAnsi="Arial" w:cs="Arial"/>
        <w:b/>
        <w:u w:val="single"/>
        <w:lang w:eastAsia="en-US"/>
      </w:rPr>
      <w:t>5</w:t>
    </w:r>
    <w:r w:rsidRPr="00FA68D9">
      <w:rPr>
        <w:rFonts w:ascii="Arial" w:eastAsia="Times New Roman" w:hAnsi="Arial" w:cs="Arial"/>
        <w:b/>
        <w:u w:val="single"/>
        <w:lang w:eastAsia="en-US"/>
      </w:rPr>
      <w:t>.</w:t>
    </w:r>
    <w:r>
      <w:rPr>
        <w:rFonts w:ascii="Arial" w:eastAsia="Times New Roman" w:hAnsi="Arial" w:cs="Arial"/>
        <w:b/>
        <w:u w:val="single"/>
        <w:lang w:eastAsia="en-US"/>
      </w:rPr>
      <w:t>2.</w:t>
    </w:r>
    <w:r w:rsidR="00BD1133">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7C289462" w14:textId="77777777" w:rsidR="00310B98" w:rsidRPr="00FA68D9" w:rsidRDefault="00310B9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3BD17B13" w14:textId="77777777" w:rsidR="00310B98" w:rsidRPr="00FA68D9" w:rsidRDefault="00310B9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2527AF03" w14:textId="66B5E7DE" w:rsidR="00310B98" w:rsidRPr="00FA68D9" w:rsidRDefault="00BD1133" w:rsidP="00B17054">
    <w:pPr>
      <w:pStyle w:val="Header"/>
      <w:jc w:val="center"/>
      <w:rPr>
        <w:lang w:val="en-US"/>
      </w:rPr>
    </w:pPr>
    <w:r w:rsidRPr="00BD1133">
      <w:rPr>
        <w:rFonts w:ascii="Arial" w:hAnsi="Arial" w:cs="Arial"/>
        <w:b/>
        <w:sz w:val="22"/>
        <w:szCs w:val="22"/>
        <w:lang w:val="en-US"/>
      </w:rPr>
      <w:t xml:space="preserve">SESSIONAL WORKING GROUP </w:t>
    </w:r>
    <w:r w:rsidR="007A3CB1" w:rsidRPr="00BD1133">
      <w:rPr>
        <w:rFonts w:ascii="Arial" w:hAnsi="Arial" w:cs="Arial"/>
        <w:b/>
        <w:sz w:val="22"/>
        <w:szCs w:val="22"/>
        <w:lang w:val="en-US"/>
      </w:rPr>
      <w:t>GUIDANCE</w:t>
    </w:r>
    <w:r w:rsidRPr="00BD1133">
      <w:rPr>
        <w:rFonts w:ascii="Arial" w:hAnsi="Arial" w:cs="Arial"/>
        <w:b/>
        <w:sz w:val="22"/>
        <w:szCs w:val="22"/>
        <w:lang w:val="en-US"/>
      </w:rPr>
      <w:t xml:space="preserve"> NOTE: OCEAN SCIENCES, BIODIVERSITY AND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B0"/>
    <w:multiLevelType w:val="multilevel"/>
    <w:tmpl w:val="B97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433A"/>
    <w:multiLevelType w:val="hybridMultilevel"/>
    <w:tmpl w:val="9734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131E"/>
    <w:multiLevelType w:val="hybridMultilevel"/>
    <w:tmpl w:val="12FCB3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E355B"/>
    <w:multiLevelType w:val="hybridMultilevel"/>
    <w:tmpl w:val="33B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11C6"/>
    <w:multiLevelType w:val="hybridMultilevel"/>
    <w:tmpl w:val="3356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131E6"/>
    <w:multiLevelType w:val="multilevel"/>
    <w:tmpl w:val="F5EE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B20DE"/>
    <w:multiLevelType w:val="multilevel"/>
    <w:tmpl w:val="1E74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A1153"/>
    <w:multiLevelType w:val="hybridMultilevel"/>
    <w:tmpl w:val="8DC8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0180D"/>
    <w:multiLevelType w:val="multilevel"/>
    <w:tmpl w:val="9E88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91D6D"/>
    <w:multiLevelType w:val="hybridMultilevel"/>
    <w:tmpl w:val="16A4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6A42"/>
    <w:multiLevelType w:val="hybridMultilevel"/>
    <w:tmpl w:val="2E90B67A"/>
    <w:lvl w:ilvl="0" w:tplc="04090001">
      <w:start w:val="1"/>
      <w:numFmt w:val="bullet"/>
      <w:lvlText w:val=""/>
      <w:lvlJc w:val="left"/>
      <w:pPr>
        <w:ind w:left="720" w:hanging="360"/>
      </w:pPr>
      <w:rPr>
        <w:rFonts w:ascii="Symbol" w:hAnsi="Symbol" w:hint="default"/>
      </w:rPr>
    </w:lvl>
    <w:lvl w:ilvl="1" w:tplc="09DC7D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A1C55"/>
    <w:multiLevelType w:val="multilevel"/>
    <w:tmpl w:val="219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954AB"/>
    <w:multiLevelType w:val="hybridMultilevel"/>
    <w:tmpl w:val="99B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71D29"/>
    <w:multiLevelType w:val="multilevel"/>
    <w:tmpl w:val="D60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42F98"/>
    <w:multiLevelType w:val="hybridMultilevel"/>
    <w:tmpl w:val="2B2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E6046"/>
    <w:multiLevelType w:val="multilevel"/>
    <w:tmpl w:val="382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661F0"/>
    <w:multiLevelType w:val="multilevel"/>
    <w:tmpl w:val="FE1E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02214"/>
    <w:multiLevelType w:val="hybridMultilevel"/>
    <w:tmpl w:val="0DF6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8440D"/>
    <w:multiLevelType w:val="hybridMultilevel"/>
    <w:tmpl w:val="F67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C5C58"/>
    <w:multiLevelType w:val="hybridMultilevel"/>
    <w:tmpl w:val="8530F0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2603474">
    <w:abstractNumId w:val="1"/>
  </w:num>
  <w:num w:numId="2" w16cid:durableId="550967953">
    <w:abstractNumId w:val="17"/>
  </w:num>
  <w:num w:numId="3" w16cid:durableId="1814910689">
    <w:abstractNumId w:val="11"/>
  </w:num>
  <w:num w:numId="4" w16cid:durableId="494301296">
    <w:abstractNumId w:val="5"/>
  </w:num>
  <w:num w:numId="5" w16cid:durableId="1286501885">
    <w:abstractNumId w:val="8"/>
  </w:num>
  <w:num w:numId="6" w16cid:durableId="1208681022">
    <w:abstractNumId w:val="6"/>
  </w:num>
  <w:num w:numId="7" w16cid:durableId="1164475166">
    <w:abstractNumId w:val="15"/>
  </w:num>
  <w:num w:numId="8" w16cid:durableId="746389863">
    <w:abstractNumId w:val="0"/>
  </w:num>
  <w:num w:numId="9" w16cid:durableId="1861236736">
    <w:abstractNumId w:val="13"/>
  </w:num>
  <w:num w:numId="10" w16cid:durableId="506213514">
    <w:abstractNumId w:val="16"/>
  </w:num>
  <w:num w:numId="11" w16cid:durableId="121464765">
    <w:abstractNumId w:val="2"/>
  </w:num>
  <w:num w:numId="12" w16cid:durableId="1620066074">
    <w:abstractNumId w:val="3"/>
  </w:num>
  <w:num w:numId="13" w16cid:durableId="1634093711">
    <w:abstractNumId w:val="4"/>
  </w:num>
  <w:num w:numId="14" w16cid:durableId="737745809">
    <w:abstractNumId w:val="9"/>
  </w:num>
  <w:num w:numId="15" w16cid:durableId="1512136642">
    <w:abstractNumId w:val="18"/>
  </w:num>
  <w:num w:numId="16" w16cid:durableId="585071472">
    <w:abstractNumId w:val="12"/>
  </w:num>
  <w:num w:numId="17" w16cid:durableId="426580677">
    <w:abstractNumId w:val="7"/>
  </w:num>
  <w:num w:numId="18" w16cid:durableId="817038234">
    <w:abstractNumId w:val="14"/>
  </w:num>
  <w:num w:numId="19" w16cid:durableId="901479002">
    <w:abstractNumId w:val="10"/>
  </w:num>
  <w:num w:numId="20" w16cid:durableId="1854881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NzM3szAztDQzMrNQ0lEKTi0uzszPAykwqgUANLl+GywAAAA="/>
  </w:docVars>
  <w:rsids>
    <w:rsidRoot w:val="00BD1133"/>
    <w:rsid w:val="000146FA"/>
    <w:rsid w:val="000A05B9"/>
    <w:rsid w:val="002B2734"/>
    <w:rsid w:val="00310B98"/>
    <w:rsid w:val="00425844"/>
    <w:rsid w:val="007A3CB1"/>
    <w:rsid w:val="00801313"/>
    <w:rsid w:val="00816723"/>
    <w:rsid w:val="00B45207"/>
    <w:rsid w:val="00BD1133"/>
    <w:rsid w:val="00CE305E"/>
    <w:rsid w:val="00E24352"/>
    <w:rsid w:val="00EE119E"/>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4B033"/>
  <w15:chartTrackingRefBased/>
  <w15:docId w15:val="{2E2E4ED3-6A0B-415A-9903-EA92C8AF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33"/>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BD1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1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1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1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1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13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BD113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D113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D113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D113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D113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D113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D113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D113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11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1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D1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13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D1133"/>
    <w:pPr>
      <w:spacing w:before="160"/>
      <w:jc w:val="center"/>
    </w:pPr>
    <w:rPr>
      <w:i/>
      <w:iCs/>
      <w:color w:val="404040" w:themeColor="text1" w:themeTint="BF"/>
    </w:rPr>
  </w:style>
  <w:style w:type="character" w:customStyle="1" w:styleId="QuoteChar">
    <w:name w:val="Quote Char"/>
    <w:basedOn w:val="DefaultParagraphFont"/>
    <w:link w:val="Quote"/>
    <w:uiPriority w:val="29"/>
    <w:rsid w:val="00BD1133"/>
    <w:rPr>
      <w:i/>
      <w:iCs/>
      <w:color w:val="404040" w:themeColor="text1" w:themeTint="BF"/>
      <w:lang w:val="en-GB"/>
    </w:rPr>
  </w:style>
  <w:style w:type="paragraph" w:styleId="ListParagraph">
    <w:name w:val="List Paragraph"/>
    <w:basedOn w:val="Normal"/>
    <w:uiPriority w:val="34"/>
    <w:qFormat/>
    <w:rsid w:val="00BD1133"/>
    <w:pPr>
      <w:ind w:left="720"/>
      <w:contextualSpacing/>
    </w:pPr>
  </w:style>
  <w:style w:type="character" w:styleId="IntenseEmphasis">
    <w:name w:val="Intense Emphasis"/>
    <w:basedOn w:val="DefaultParagraphFont"/>
    <w:uiPriority w:val="21"/>
    <w:qFormat/>
    <w:rsid w:val="00BD1133"/>
    <w:rPr>
      <w:i/>
      <w:iCs/>
      <w:color w:val="0F4761" w:themeColor="accent1" w:themeShade="BF"/>
    </w:rPr>
  </w:style>
  <w:style w:type="paragraph" w:styleId="IntenseQuote">
    <w:name w:val="Intense Quote"/>
    <w:basedOn w:val="Normal"/>
    <w:next w:val="Normal"/>
    <w:link w:val="IntenseQuoteChar"/>
    <w:uiPriority w:val="30"/>
    <w:qFormat/>
    <w:rsid w:val="00BD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133"/>
    <w:rPr>
      <w:i/>
      <w:iCs/>
      <w:color w:val="0F4761" w:themeColor="accent1" w:themeShade="BF"/>
      <w:lang w:val="en-GB"/>
    </w:rPr>
  </w:style>
  <w:style w:type="character" w:styleId="IntenseReference">
    <w:name w:val="Intense Reference"/>
    <w:basedOn w:val="DefaultParagraphFont"/>
    <w:uiPriority w:val="32"/>
    <w:qFormat/>
    <w:rsid w:val="00BD1133"/>
    <w:rPr>
      <w:b/>
      <w:bCs/>
      <w:smallCaps/>
      <w:color w:val="0F4761" w:themeColor="accent1" w:themeShade="BF"/>
      <w:spacing w:val="5"/>
    </w:rPr>
  </w:style>
  <w:style w:type="paragraph" w:styleId="Header">
    <w:name w:val="header"/>
    <w:basedOn w:val="Normal"/>
    <w:link w:val="HeaderChar"/>
    <w:uiPriority w:val="99"/>
    <w:rsid w:val="00BD1133"/>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BD1133"/>
    <w:rPr>
      <w:rFonts w:ascii="Times New Roman" w:eastAsia="Times New Roman" w:hAnsi="Times New Roman" w:cs="Times New Roman"/>
      <w:snapToGrid w:val="0"/>
      <w:kern w:val="0"/>
      <w:sz w:val="24"/>
      <w:szCs w:val="24"/>
      <w:lang w:val="en-GB"/>
      <w14:ligatures w14:val="none"/>
    </w:rPr>
  </w:style>
  <w:style w:type="paragraph" w:customStyle="1" w:styleId="Marge">
    <w:name w:val="Marge"/>
    <w:basedOn w:val="Normal"/>
    <w:uiPriority w:val="99"/>
    <w:rsid w:val="00BD1133"/>
    <w:pPr>
      <w:spacing w:after="240"/>
      <w:jc w:val="both"/>
    </w:pPr>
    <w:rPr>
      <w:rFonts w:eastAsia="Times New Roman"/>
      <w:lang w:eastAsia="en-US"/>
    </w:rPr>
  </w:style>
  <w:style w:type="paragraph" w:styleId="NormalWeb">
    <w:name w:val="Normal (Web)"/>
    <w:basedOn w:val="Normal"/>
    <w:uiPriority w:val="99"/>
    <w:semiHidden/>
    <w:unhideWhenUsed/>
    <w:rsid w:val="00BD1133"/>
    <w:pPr>
      <w:tabs>
        <w:tab w:val="clear" w:pos="567"/>
      </w:tabs>
      <w:snapToGrid/>
      <w:spacing w:before="100" w:beforeAutospacing="1" w:after="100" w:afterAutospacing="1"/>
    </w:pPr>
    <w:rPr>
      <w:rFonts w:eastAsia="Times New Roman"/>
      <w:snapToGrid/>
      <w:lang w:val="en-US" w:eastAsia="en-US"/>
    </w:rPr>
  </w:style>
  <w:style w:type="paragraph" w:styleId="Footer">
    <w:name w:val="footer"/>
    <w:basedOn w:val="Normal"/>
    <w:link w:val="FooterChar"/>
    <w:uiPriority w:val="99"/>
    <w:unhideWhenUsed/>
    <w:rsid w:val="00BD1133"/>
    <w:pPr>
      <w:tabs>
        <w:tab w:val="clear" w:pos="567"/>
        <w:tab w:val="center" w:pos="4680"/>
        <w:tab w:val="right" w:pos="9360"/>
      </w:tabs>
    </w:pPr>
  </w:style>
  <w:style w:type="character" w:customStyle="1" w:styleId="FooterChar">
    <w:name w:val="Footer Char"/>
    <w:basedOn w:val="DefaultParagraphFont"/>
    <w:link w:val="Footer"/>
    <w:uiPriority w:val="99"/>
    <w:rsid w:val="00BD1133"/>
    <w:rPr>
      <w:rFonts w:ascii="Times New Roman" w:eastAsia="SimSun" w:hAnsi="Times New Roman" w:cs="Times New Roman"/>
      <w:snapToGrid w:val="0"/>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890</Words>
  <Characters>6001</Characters>
  <Application>Microsoft Office Word</Application>
  <DocSecurity>0</DocSecurity>
  <Lines>107</Lines>
  <Paragraphs>55</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5</cp:revision>
  <dcterms:created xsi:type="dcterms:W3CDTF">2025-05-01T08:16:00Z</dcterms:created>
  <dcterms:modified xsi:type="dcterms:W3CDTF">2025-05-03T20:29:00Z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0f0d0690-11d6-4edf-9a56-e2233c43f0b3</vt:lpwstr>
  </property>
</Properties>
</file>